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舌面脉信息采集体质辨识系统</w:t>
      </w:r>
    </w:p>
    <w:p>
      <w:pPr>
        <w:spacing w:line="360" w:lineRule="auto"/>
        <w:outlineLvl w:val="0"/>
        <w:rPr>
          <w:rFonts w:hint="eastAsia" w:ascii="宋体" w:hAnsi="宋体"/>
          <w:b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pacing w:val="2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20"/>
          <w:sz w:val="24"/>
          <w:szCs w:val="24"/>
          <w:lang w:eastAsia="zh-CN"/>
        </w:rPr>
        <w:t>设备名称：</w:t>
      </w:r>
    </w:p>
    <w:p>
      <w:pPr>
        <w:numPr>
          <w:numId w:val="0"/>
        </w:numPr>
        <w:rPr>
          <w:rFonts w:hint="eastAsia" w:ascii="宋体" w:hAnsi="宋体" w:eastAsia="宋体" w:cs="宋体"/>
          <w:spacing w:val="20"/>
          <w:sz w:val="24"/>
          <w:szCs w:val="24"/>
          <w:lang w:eastAsia="zh-CN"/>
        </w:rPr>
      </w:pPr>
      <w:r>
        <w:rPr>
          <w:rFonts w:hint="eastAsia" w:ascii="宋体" w:hAnsi="宋体" w:cs="宋体"/>
          <w:spacing w:val="20"/>
          <w:sz w:val="24"/>
          <w:szCs w:val="24"/>
          <w:lang w:val="en-US" w:eastAsia="zh-CN"/>
        </w:rPr>
        <w:t>1、名称：</w:t>
      </w:r>
      <w:r>
        <w:rPr>
          <w:rFonts w:hint="eastAsia" w:ascii="宋体" w:hAnsi="宋体" w:cs="宋体"/>
          <w:b w:val="0"/>
          <w:bCs w:val="0"/>
          <w:spacing w:val="20"/>
          <w:sz w:val="24"/>
          <w:szCs w:val="24"/>
          <w:lang w:eastAsia="zh-CN"/>
        </w:rPr>
        <w:t>中医四诊仪（</w:t>
      </w:r>
      <w:r>
        <w:rPr>
          <w:rFonts w:hint="eastAsia" w:ascii="宋体" w:hAnsi="宋体"/>
          <w:b w:val="0"/>
          <w:bCs w:val="0"/>
          <w:sz w:val="24"/>
          <w:szCs w:val="24"/>
        </w:rPr>
        <w:t>舌面脉信息采集体质辨识系统</w:t>
      </w:r>
      <w:r>
        <w:rPr>
          <w:rFonts w:hint="eastAsia" w:ascii="宋体" w:hAnsi="宋体" w:cs="宋体"/>
          <w:b w:val="0"/>
          <w:bCs w:val="0"/>
          <w:spacing w:val="20"/>
          <w:sz w:val="24"/>
          <w:szCs w:val="24"/>
          <w:lang w:eastAsia="zh-CN"/>
        </w:rPr>
        <w:t>）</w:t>
      </w:r>
    </w:p>
    <w:p>
      <w:pPr>
        <w:numPr>
          <w:numId w:val="0"/>
        </w:numPr>
        <w:rPr>
          <w:rFonts w:hint="eastAsia" w:ascii="宋体" w:hAnsi="宋体" w:eastAsia="宋体" w:cs="宋体"/>
          <w:spacing w:val="20"/>
          <w:sz w:val="24"/>
          <w:szCs w:val="24"/>
          <w:lang w:eastAsia="zh-CN"/>
        </w:rPr>
      </w:pPr>
      <w:r>
        <w:rPr>
          <w:rFonts w:hint="eastAsia" w:ascii="宋体" w:hAnsi="宋体" w:cs="宋体"/>
          <w:spacing w:val="2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数量：一套</w:t>
      </w:r>
    </w:p>
    <w:p>
      <w:pPr>
        <w:numPr>
          <w:numId w:val="0"/>
        </w:numPr>
        <w:rPr>
          <w:rFonts w:hint="default" w:ascii="宋体" w:hAnsi="宋体" w:eastAsia="宋体" w:cs="宋体"/>
          <w:spacing w:val="2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2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用途：</w:t>
      </w:r>
      <w:r>
        <w:rPr>
          <w:rFonts w:hint="eastAsia" w:ascii="宋体" w:hAnsi="宋体" w:cs="宋体"/>
          <w:spacing w:val="20"/>
          <w:sz w:val="24"/>
          <w:szCs w:val="24"/>
          <w:lang w:val="en-US" w:eastAsia="zh-CN"/>
        </w:rPr>
        <w:t>用于舌象</w:t>
      </w:r>
      <w:r>
        <w:rPr>
          <w:rFonts w:hint="eastAsia" w:ascii="宋体" w:hAnsi="宋体"/>
          <w:sz w:val="24"/>
          <w:szCs w:val="24"/>
        </w:rPr>
        <w:t>、脉象、</w:t>
      </w:r>
      <w:r>
        <w:rPr>
          <w:rFonts w:hint="eastAsia" w:ascii="宋体" w:hAnsi="宋体"/>
          <w:sz w:val="24"/>
          <w:szCs w:val="24"/>
          <w:lang w:eastAsia="zh-CN"/>
        </w:rPr>
        <w:t>面色诊测信息采集及辅助体质辨识。</w:t>
      </w:r>
    </w:p>
    <w:p>
      <w:pPr>
        <w:spacing w:line="360" w:lineRule="auto"/>
        <w:outlineLvl w:val="0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二</w:t>
      </w:r>
      <w:r>
        <w:rPr>
          <w:rFonts w:hint="eastAsia" w:ascii="宋体" w:hAnsi="宋体"/>
          <w:b w:val="0"/>
          <w:bCs/>
          <w:sz w:val="24"/>
          <w:szCs w:val="24"/>
        </w:rPr>
        <w:t>、设备安全性要求</w:t>
      </w:r>
    </w:p>
    <w:p>
      <w:pPr>
        <w:widowControl/>
        <w:wordWrap w:val="0"/>
        <w:spacing w:line="360" w:lineRule="auto"/>
        <w:jc w:val="left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*1、产品具备舌象、面象、脉象、体质辨识中医诊断数据采集与分析功能为一体的设备，具有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提供医疗器械注册证；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2、设备通过电磁兼容（EMC）安全强制标准检验；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3、设备通过细胞毒性、过敏反应及皮肤刺激等项目检验；</w:t>
      </w:r>
    </w:p>
    <w:p>
      <w:pPr>
        <w:spacing w:line="360" w:lineRule="auto"/>
        <w:outlineLvl w:val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三、设备技术性能要求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1、舌面象采集窗口光源显色指数：Ra≥90；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2、舌面象采集窗口光源色温：4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00K≤Tc≤</w:t>
      </w:r>
      <w:r>
        <w:rPr>
          <w:rFonts w:hint="eastAsia" w:ascii="宋体" w:hAnsi="宋体"/>
          <w:sz w:val="24"/>
          <w:szCs w:val="24"/>
          <w:lang w:val="en-US" w:eastAsia="zh-CN"/>
        </w:rPr>
        <w:t>70</w:t>
      </w:r>
      <w:r>
        <w:rPr>
          <w:rFonts w:hint="eastAsia" w:ascii="宋体" w:hAnsi="宋体"/>
          <w:sz w:val="24"/>
          <w:szCs w:val="24"/>
        </w:rPr>
        <w:t>00K；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*3、舌面象采集窗口照度值（Ec）：标称值（X）允差：±10%；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4、舌面采集装置光源通过光源安全性检验，确保光源安全性；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5、可自动分析舌象及面色特征，输出结果不低于4类20种；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6、舌下脉络信息采集功能，支持舌下脉络信息输入；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7、脉象采集传感器触力面直径范围：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＜φ＜</w:t>
      </w:r>
      <w:r>
        <w:rPr>
          <w:rFonts w:ascii="宋体" w:hAnsi="宋体"/>
          <w:sz w:val="24"/>
          <w:szCs w:val="24"/>
        </w:rPr>
        <w:t>8mm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*8、脉象采集传感器灵敏度：</w:t>
      </w:r>
      <w:r>
        <w:rPr>
          <w:rFonts w:hint="eastAsia" w:ascii="宋体" w:hAnsi="宋体"/>
          <w:sz w:val="24"/>
          <w:szCs w:val="24"/>
          <w:lang w:eastAsia="zh-CN"/>
        </w:rPr>
        <w:t>≥</w:t>
      </w:r>
      <w:r>
        <w:rPr>
          <w:rFonts w:hint="eastAsia" w:ascii="宋体" w:hAnsi="宋体"/>
          <w:sz w:val="24"/>
          <w:szCs w:val="24"/>
        </w:rPr>
        <w:t>2.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mv/g；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9、脉象采集传感器触力面可承受：</w:t>
      </w:r>
      <w:r>
        <w:rPr>
          <w:rFonts w:ascii="宋体" w:hAnsi="宋体"/>
          <w:sz w:val="24"/>
          <w:szCs w:val="24"/>
        </w:rPr>
        <w:t>4.5</w:t>
      </w:r>
      <w:r>
        <w:rPr>
          <w:rFonts w:hint="eastAsia" w:ascii="宋体" w:hAnsi="宋体"/>
          <w:sz w:val="24"/>
          <w:szCs w:val="24"/>
        </w:rPr>
        <w:t>㎏过载；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10、可自动输出定性脉象判读结果及脉象各项定量指标；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11、问诊量表及判定标准符合中华中医药学会标准ZYYXH/T 157--2009《中医体质分类与判定》的要求；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*12、体质辨识功能在医疗器械注册证中明确注明。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13、面象采集像素≥1800万像素，舌象采集像素≥1800万像素。</w:t>
      </w:r>
    </w:p>
    <w:p>
      <w:pPr>
        <w:spacing w:line="360" w:lineRule="auto"/>
        <w:outlineLvl w:val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四、软件功能性要求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1、中医四诊合参体质辨识功能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1）根据中医舌象、面象、脉象及问诊等客观四诊化信息，自动识别出不低于12种体质辨识及20余种中医脏腑辨证分型；并可提供对应脏腑辨证的养生方案及中医药适宜技术方案；</w:t>
      </w:r>
    </w:p>
    <w:p>
      <w:pPr>
        <w:spacing w:line="360" w:lineRule="auto"/>
        <w:outlineLvl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2）为保证产品知识产权合法性，应提供对应功能的软件著作权证书；</w:t>
      </w:r>
    </w:p>
    <w:p>
      <w:pPr>
        <w:spacing w:line="360" w:lineRule="auto"/>
        <w:outlineLvl w:val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2、</w:t>
      </w:r>
      <w:r>
        <w:rPr>
          <w:rFonts w:hint="eastAsia" w:ascii="宋体" w:hAnsi="宋体" w:cs="楷体_GB2312"/>
          <w:b/>
          <w:bCs/>
          <w:color w:val="000000"/>
          <w:kern w:val="0"/>
          <w:sz w:val="24"/>
          <w:szCs w:val="24"/>
        </w:rPr>
        <w:t>中医体质辨识功能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符合中华中医药学会 ZYYXH/T157-2009《中医体质分类与判定》标准，可输出9 种基本体质以及百余种复合体质；</w:t>
      </w:r>
    </w:p>
    <w:p>
      <w:pPr>
        <w:spacing w:line="360" w:lineRule="auto"/>
        <w:outlineLvl w:val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3、老年人体质辨识功能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符合中医药健康管理服务技术规范-老年人中医药健康管理服务的要求；</w:t>
      </w:r>
    </w:p>
    <w:p>
      <w:pPr>
        <w:spacing w:line="360" w:lineRule="auto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4、中医五态辨识调身养心系统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*1）提供中医五态人格测评分析，根据人格特征的类型，系统自动给出音乐、行为等养生干预方案；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2）五态人格系统具有国家版权局出具的计算机软件著作权证书；</w:t>
      </w:r>
    </w:p>
    <w:p>
      <w:pPr>
        <w:spacing w:line="360" w:lineRule="auto"/>
        <w:rPr>
          <w:rFonts w:ascii="宋体" w:hAnsi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/>
          <w:b w:val="0"/>
          <w:bCs/>
          <w:color w:val="000000"/>
          <w:sz w:val="24"/>
          <w:szCs w:val="24"/>
        </w:rPr>
        <w:t>5、提供五类重点人群（高血压病、2型糖尿病、老年人、婴幼儿、孕产妇）中医养生指导方案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1）</w:t>
      </w:r>
      <w:r>
        <w:rPr>
          <w:rFonts w:hint="eastAsia" w:ascii="宋体" w:hAnsi="宋体"/>
          <w:sz w:val="24"/>
          <w:szCs w:val="24"/>
        </w:rPr>
        <w:t>针对高血压病慢病患者，系统提供：中医饮食调养、中医起居养生、中医运动养生、中医情志养生、中医特色保健法等中医健康指导方案；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2）孕妇健康保健主要包括：孕期保健养胎的意义、孕早期生理特征及保健、孕中期生理特征及保健、孕晚期生理特征及保健等中医健康指导方案；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3）产妇健康保健主要包括：产妇的生理特征、产妇的饮食调养、产妇起居、产妇情绪疏导、产后体操、产妇禁忌等中医健康指导方案；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4）婴幼儿健康保健主要包括：各月龄儿童生理发育特点、饮食调养指导、儿童中医起居调摄、儿童意外危害的预防和处理、儿童推拿按摩调养等中医健康指导方案。</w:t>
      </w:r>
    </w:p>
    <w:p>
      <w:pPr>
        <w:spacing w:line="360" w:lineRule="auto"/>
        <w:outlineLvl w:val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6、中医养生方案库以及中医适宜技术干预方案库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1）所提供的个体化辨体施养方案，包含四季食疗养生、足浴保健等内容，为被测试者提供个体化的健康养生指导建议；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2）提供个性化中医适宜技术干预方案，应包括：足浴、耳穴、刮痧、拔罐等中医适宜技术；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7、</w:t>
      </w:r>
      <w:r>
        <w:rPr>
          <w:rFonts w:hint="eastAsia" w:ascii="宋体" w:hAnsi="宋体"/>
          <w:b/>
          <w:color w:val="000000"/>
          <w:sz w:val="24"/>
          <w:szCs w:val="24"/>
        </w:rPr>
        <w:t>养生方案具有自定义组合及编辑功能，并支持用户导入本地养生方案</w:t>
      </w:r>
    </w:p>
    <w:p>
      <w:pPr>
        <w:spacing w:line="360" w:lineRule="auto"/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8、开放数据接口，支持与医院系统、区域卫生数据平台对接</w:t>
      </w:r>
    </w:p>
    <w:p>
      <w:pPr>
        <w:spacing w:line="360" w:lineRule="auto"/>
        <w:rPr>
          <w:rFonts w:hint="eastAsia" w:ascii="宋体" w:hAnsi="宋体"/>
          <w:b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eastAsia="zh-CN"/>
        </w:rPr>
        <w:t>五、其他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1、质保≥3年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pacing w:val="28"/>
          <w:sz w:val="24"/>
          <w:szCs w:val="24"/>
          <w:lang w:val="en-US" w:eastAsia="zh-CN"/>
        </w:rPr>
      </w:pPr>
      <w:r>
        <w:rPr>
          <w:rFonts w:hint="eastAsia" w:ascii="宋体" w:hAnsi="宋体" w:cs="宋体"/>
          <w:spacing w:val="2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pacing w:val="2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pacing w:val="28"/>
          <w:sz w:val="24"/>
          <w:szCs w:val="24"/>
          <w:lang w:eastAsia="zh-CN"/>
        </w:rPr>
        <w:t>付款方式：</w:t>
      </w:r>
      <w:r>
        <w:rPr>
          <w:rFonts w:hint="eastAsia" w:ascii="宋体" w:hAnsi="宋体" w:eastAsia="宋体" w:cs="宋体"/>
          <w:spacing w:val="28"/>
          <w:sz w:val="24"/>
          <w:szCs w:val="24"/>
          <w:u w:val="none"/>
        </w:rPr>
        <w:t>货到安装验收合格后甲方支付</w:t>
      </w:r>
      <w:r>
        <w:rPr>
          <w:rFonts w:hint="eastAsia" w:ascii="宋体" w:hAnsi="宋体" w:eastAsia="宋体" w:cs="宋体"/>
          <w:spacing w:val="28"/>
          <w:sz w:val="24"/>
          <w:szCs w:val="24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spacing w:val="28"/>
          <w:sz w:val="24"/>
          <w:szCs w:val="24"/>
          <w:u w:val="none"/>
        </w:rPr>
        <w:t>0%货款</w:t>
      </w:r>
      <w:r>
        <w:rPr>
          <w:rFonts w:hint="eastAsia" w:ascii="宋体" w:hAnsi="宋体" w:eastAsia="宋体" w:cs="宋体"/>
          <w:spacing w:val="28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spacing w:val="28"/>
          <w:sz w:val="24"/>
          <w:szCs w:val="24"/>
          <w:u w:val="none"/>
        </w:rPr>
        <w:t>安装验收合格1年后无质量及其他问题，甲方</w:t>
      </w:r>
      <w:r>
        <w:rPr>
          <w:rFonts w:hint="eastAsia" w:ascii="宋体" w:hAnsi="宋体" w:eastAsia="宋体" w:cs="宋体"/>
          <w:spacing w:val="28"/>
          <w:sz w:val="24"/>
          <w:szCs w:val="24"/>
          <w:u w:val="none"/>
          <w:lang w:val="en-US" w:eastAsia="zh-CN"/>
        </w:rPr>
        <w:t>再</w:t>
      </w:r>
      <w:r>
        <w:rPr>
          <w:rFonts w:hint="eastAsia" w:ascii="宋体" w:hAnsi="宋体" w:eastAsia="宋体" w:cs="宋体"/>
          <w:spacing w:val="28"/>
          <w:sz w:val="24"/>
          <w:szCs w:val="24"/>
          <w:u w:val="none"/>
        </w:rPr>
        <w:t>支付10%货款</w:t>
      </w:r>
      <w:r>
        <w:rPr>
          <w:rFonts w:hint="eastAsia" w:ascii="宋体" w:hAnsi="宋体" w:eastAsia="宋体" w:cs="宋体"/>
          <w:spacing w:val="28"/>
          <w:sz w:val="24"/>
          <w:szCs w:val="24"/>
          <w:u w:val="none"/>
          <w:lang w:eastAsia="zh-CN"/>
        </w:rPr>
        <w:t>。</w:t>
      </w:r>
    </w:p>
    <w:p>
      <w:pPr>
        <w:spacing w:line="360" w:lineRule="auto"/>
        <w:rPr>
          <w:rFonts w:hint="eastAsia" w:ascii="宋体" w:hAnsi="宋体"/>
          <w:b/>
          <w:color w:val="00000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76EF"/>
    <w:multiLevelType w:val="singleLevel"/>
    <w:tmpl w:val="009676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6FD"/>
    <w:rsid w:val="00007351"/>
    <w:rsid w:val="0005635B"/>
    <w:rsid w:val="00061322"/>
    <w:rsid w:val="00084605"/>
    <w:rsid w:val="000A1BC5"/>
    <w:rsid w:val="000B7B3B"/>
    <w:rsid w:val="000C2D52"/>
    <w:rsid w:val="000E6358"/>
    <w:rsid w:val="000F367D"/>
    <w:rsid w:val="0010086D"/>
    <w:rsid w:val="00102836"/>
    <w:rsid w:val="00102D28"/>
    <w:rsid w:val="00104B38"/>
    <w:rsid w:val="001216E1"/>
    <w:rsid w:val="00134F07"/>
    <w:rsid w:val="00161962"/>
    <w:rsid w:val="0016712F"/>
    <w:rsid w:val="001708DD"/>
    <w:rsid w:val="001A7DC3"/>
    <w:rsid w:val="001B7C27"/>
    <w:rsid w:val="002359D8"/>
    <w:rsid w:val="00246B04"/>
    <w:rsid w:val="00275F43"/>
    <w:rsid w:val="002B0348"/>
    <w:rsid w:val="003133C8"/>
    <w:rsid w:val="0031374E"/>
    <w:rsid w:val="003307F5"/>
    <w:rsid w:val="00395721"/>
    <w:rsid w:val="003B3CC5"/>
    <w:rsid w:val="003B634E"/>
    <w:rsid w:val="003C41D3"/>
    <w:rsid w:val="003D6DC2"/>
    <w:rsid w:val="003E5466"/>
    <w:rsid w:val="004917B4"/>
    <w:rsid w:val="004F4B59"/>
    <w:rsid w:val="004F5528"/>
    <w:rsid w:val="005217F6"/>
    <w:rsid w:val="0053129E"/>
    <w:rsid w:val="005762FB"/>
    <w:rsid w:val="005A6F35"/>
    <w:rsid w:val="005B10B2"/>
    <w:rsid w:val="00611553"/>
    <w:rsid w:val="00633A59"/>
    <w:rsid w:val="0065124E"/>
    <w:rsid w:val="0066703F"/>
    <w:rsid w:val="00687C47"/>
    <w:rsid w:val="006A7ED8"/>
    <w:rsid w:val="006D002C"/>
    <w:rsid w:val="006F14C4"/>
    <w:rsid w:val="00722320"/>
    <w:rsid w:val="007361B0"/>
    <w:rsid w:val="0077319A"/>
    <w:rsid w:val="0078272C"/>
    <w:rsid w:val="00786FC7"/>
    <w:rsid w:val="007A4C72"/>
    <w:rsid w:val="007C11C5"/>
    <w:rsid w:val="007F00B6"/>
    <w:rsid w:val="007F31BB"/>
    <w:rsid w:val="007F36C1"/>
    <w:rsid w:val="00865506"/>
    <w:rsid w:val="0088743A"/>
    <w:rsid w:val="00916A9C"/>
    <w:rsid w:val="00931E29"/>
    <w:rsid w:val="00957F07"/>
    <w:rsid w:val="009B4551"/>
    <w:rsid w:val="009B5030"/>
    <w:rsid w:val="009D3EEA"/>
    <w:rsid w:val="00A45149"/>
    <w:rsid w:val="00A9523C"/>
    <w:rsid w:val="00AE1B25"/>
    <w:rsid w:val="00AF06FE"/>
    <w:rsid w:val="00B15BAD"/>
    <w:rsid w:val="00B21C15"/>
    <w:rsid w:val="00B31AD1"/>
    <w:rsid w:val="00B35ABE"/>
    <w:rsid w:val="00B71D92"/>
    <w:rsid w:val="00B76CB5"/>
    <w:rsid w:val="00B81896"/>
    <w:rsid w:val="00BB21A3"/>
    <w:rsid w:val="00BD7FDF"/>
    <w:rsid w:val="00BE509C"/>
    <w:rsid w:val="00BF5582"/>
    <w:rsid w:val="00C053DF"/>
    <w:rsid w:val="00C25EB4"/>
    <w:rsid w:val="00C56A22"/>
    <w:rsid w:val="00CC176E"/>
    <w:rsid w:val="00CE0BE0"/>
    <w:rsid w:val="00D00FF3"/>
    <w:rsid w:val="00DB3388"/>
    <w:rsid w:val="00DC162C"/>
    <w:rsid w:val="00DD0C95"/>
    <w:rsid w:val="00E035CD"/>
    <w:rsid w:val="00E369AE"/>
    <w:rsid w:val="00E4560A"/>
    <w:rsid w:val="00E507BF"/>
    <w:rsid w:val="00E5592A"/>
    <w:rsid w:val="00E81206"/>
    <w:rsid w:val="00E930D6"/>
    <w:rsid w:val="00ED4126"/>
    <w:rsid w:val="00F206FD"/>
    <w:rsid w:val="00FC5450"/>
    <w:rsid w:val="5CFB2FF6"/>
    <w:rsid w:val="63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文档结构图 字符"/>
    <w:basedOn w:val="6"/>
    <w:link w:val="2"/>
    <w:semiHidden/>
    <w:qFormat/>
    <w:uiPriority w:val="99"/>
    <w:rPr>
      <w:rFonts w:ascii="宋体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197</Words>
  <Characters>1128</Characters>
  <Lines>9</Lines>
  <Paragraphs>2</Paragraphs>
  <TotalTime>4</TotalTime>
  <ScaleCrop>false</ScaleCrop>
  <LinksUpToDate>false</LinksUpToDate>
  <CharactersWithSpaces>1323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2019-03-05T09:18:00Z</dcterms:created>
  <dc:creator>CL</dc:creator>
  <cp:lastModifiedBy>蓝色天空</cp:lastModifiedBy>
  <dcterms:modified xsi:type="dcterms:W3CDTF">2019-03-19T03:18:35Z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