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center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中医经络检测仪项目参数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pacing w:val="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20"/>
          <w:sz w:val="24"/>
          <w:szCs w:val="24"/>
          <w:lang w:eastAsia="zh-CN"/>
        </w:rPr>
        <w:t>设备名称：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20"/>
          <w:sz w:val="24"/>
          <w:szCs w:val="24"/>
          <w:lang w:eastAsia="zh-CN"/>
        </w:rPr>
      </w:pPr>
      <w:r>
        <w:rPr>
          <w:rFonts w:hint="eastAsia" w:ascii="宋体" w:hAnsi="宋体" w:cs="宋体"/>
          <w:spacing w:val="20"/>
          <w:sz w:val="24"/>
          <w:szCs w:val="24"/>
          <w:lang w:val="en-US" w:eastAsia="zh-CN"/>
        </w:rPr>
        <w:t>1、名称：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中医经络检测仪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20"/>
          <w:sz w:val="24"/>
          <w:szCs w:val="24"/>
          <w:lang w:eastAsia="zh-CN"/>
        </w:rPr>
      </w:pPr>
      <w:r>
        <w:rPr>
          <w:rFonts w:hint="eastAsia" w:ascii="宋体" w:hAnsi="宋体" w:cs="宋体"/>
          <w:spacing w:val="2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数量：一套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pacing w:val="2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2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用途：</w:t>
      </w:r>
      <w:r>
        <w:rPr>
          <w:rFonts w:hint="eastAsia" w:ascii="宋体" w:hAnsi="宋体" w:cs="宋体"/>
          <w:spacing w:val="20"/>
          <w:sz w:val="24"/>
          <w:szCs w:val="24"/>
          <w:lang w:val="en-US" w:eastAsia="zh-CN"/>
        </w:rPr>
        <w:t>适用于临床科室中医经络的提示性检测。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center"/>
        <w:textAlignment w:val="auto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二、技术</w:t>
      </w:r>
      <w:r>
        <w:rPr>
          <w:rFonts w:hint="eastAsia" w:ascii="宋体" w:hAnsi="宋体"/>
          <w:b/>
          <w:sz w:val="24"/>
          <w:szCs w:val="24"/>
        </w:rPr>
        <w:t>参数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及要求</w:t>
      </w:r>
      <w:r>
        <w:rPr>
          <w:rFonts w:hint="eastAsia" w:ascii="宋体" w:hAnsi="宋体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※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1、依据中医经络理论，模拟中医经络虚实辨证分析，辅助中医临床诊断；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2、通过经络检测，自动生成中医脏腑辨证结论，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辨证结论符合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中医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临床基本证型；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3、通过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经络检测，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可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生成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符合中医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临床基本证型的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相关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处方建议；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4、通过经络检测，可实现经络虚实判断并提示经络关联症状风险，并给予相关理疗方案建议；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5、通过经络检测，可自动实现经络传感平衡问题分析、经络脏腑的病位关联与五行传变分析等；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6、经络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检测结果可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通过图形、颜色、数值等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直观量化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形式提示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经络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“虚实盛衰、人体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功能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平衡状态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主要问题经络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</w:rPr>
        <w:t>”；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7、通过经络检测，可自动生成二十节气调理方案和经络调理方案等报告内容；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8、通过经络检测，可自动生成中医体质分析、易发疾病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提示、中医体质调理建议等报告内容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经络检测</w:t>
      </w:r>
      <w:r>
        <w:rPr>
          <w:rFonts w:hint="eastAsia" w:ascii="宋体" w:hAnsi="宋体" w:cs="宋体"/>
          <w:kern w:val="0"/>
          <w:sz w:val="24"/>
          <w:szCs w:val="24"/>
        </w:rPr>
        <w:t>系统具有开机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后软件</w:t>
      </w:r>
      <w:r>
        <w:rPr>
          <w:rFonts w:hint="eastAsia" w:ascii="宋体" w:hAnsi="宋体" w:cs="宋体"/>
          <w:kern w:val="0"/>
          <w:sz w:val="24"/>
          <w:szCs w:val="24"/>
        </w:rPr>
        <w:t>版本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在线更新</w:t>
      </w:r>
      <w:r>
        <w:rPr>
          <w:rFonts w:hint="eastAsia" w:ascii="宋体" w:hAnsi="宋体" w:cs="宋体"/>
          <w:kern w:val="0"/>
          <w:sz w:val="24"/>
          <w:szCs w:val="24"/>
        </w:rPr>
        <w:t>升级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提示及</w:t>
      </w:r>
      <w:r>
        <w:rPr>
          <w:rFonts w:hint="eastAsia" w:ascii="宋体" w:hAnsi="宋体" w:cs="宋体"/>
          <w:kern w:val="0"/>
          <w:sz w:val="24"/>
          <w:szCs w:val="24"/>
        </w:rPr>
        <w:t>迭代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新版本软件</w:t>
      </w:r>
      <w:r>
        <w:rPr>
          <w:rFonts w:hint="eastAsia" w:ascii="宋体" w:hAnsi="宋体" w:cs="宋体"/>
          <w:kern w:val="0"/>
          <w:sz w:val="24"/>
          <w:szCs w:val="24"/>
        </w:rPr>
        <w:t>功能；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10、</w:t>
      </w:r>
      <w:r>
        <w:rPr>
          <w:rFonts w:hint="eastAsia" w:ascii="宋体" w:hAnsi="宋体" w:cs="宋体"/>
          <w:kern w:val="0"/>
          <w:sz w:val="24"/>
          <w:szCs w:val="24"/>
        </w:rPr>
        <w:t>设备具有实时远程传输检测结果的功能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11、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经络检测</w:t>
      </w:r>
      <w:r>
        <w:rPr>
          <w:rFonts w:hint="eastAsia" w:ascii="宋体" w:hAnsi="宋体" w:cs="宋体"/>
          <w:kern w:val="0"/>
          <w:sz w:val="24"/>
        </w:rPr>
        <w:t>软件系统</w:t>
      </w:r>
      <w:r>
        <w:rPr>
          <w:rFonts w:hint="eastAsia" w:ascii="宋体" w:hAnsi="宋体" w:cs="宋体"/>
          <w:kern w:val="0"/>
          <w:sz w:val="24"/>
          <w:lang w:val="en-US" w:eastAsia="zh-CN"/>
        </w:rPr>
        <w:t>及经络检测数据</w:t>
      </w:r>
      <w:r>
        <w:rPr>
          <w:rFonts w:hint="eastAsia" w:ascii="宋体" w:hAnsi="宋体" w:cs="宋体"/>
          <w:kern w:val="0"/>
          <w:sz w:val="24"/>
        </w:rPr>
        <w:t>具备云端存储功能</w:t>
      </w:r>
      <w:r>
        <w:rPr>
          <w:rFonts w:hint="eastAsia" w:ascii="宋体" w:hAnsi="宋体" w:cs="宋体"/>
          <w:kern w:val="0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12、设备具有自动采集受检者身份信息的功能；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13、设备具有经络信息采集有效性的智能语音提示功能；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14、设备检测系统具备检测结果自动存储功能、查询调阅功能、多次检测结果的对比分析功能；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15、设备配备工作台，采用诊疗工作台操作布局方式，将各功能区域进行模块化设置，符合中医医师操作习惯；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16、检测速度快，检测时间在≤5分钟内，即可自动生成，即可出具报告单；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17、设备采用方便快捷的手部经络自动采集方式；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62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ind w:left="0" w:leftChars="0" w:right="0" w:rightChars="0" w:firstLine="0" w:firstLineChars="0"/>
        <w:contextualSpacing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18、设备配备万年历，即：中医经络时辰表，直观显示十二经络对应十二时辰规律；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19、</w:t>
      </w:r>
      <w:r>
        <w:rPr>
          <w:rFonts w:hint="eastAsia" w:ascii="宋体" w:hAnsi="宋体"/>
          <w:sz w:val="24"/>
          <w:szCs w:val="24"/>
        </w:rPr>
        <w:t>设备</w:t>
      </w:r>
      <w:r>
        <w:rPr>
          <w:rFonts w:hint="eastAsia" w:ascii="宋体" w:hAnsi="宋体"/>
          <w:sz w:val="24"/>
          <w:szCs w:val="24"/>
          <w:lang w:val="en-US" w:eastAsia="zh-CN"/>
        </w:rPr>
        <w:t>检测精度</w:t>
      </w:r>
      <w:r>
        <w:rPr>
          <w:rFonts w:hint="eastAsia" w:ascii="宋体" w:hAnsi="宋体"/>
          <w:sz w:val="24"/>
          <w:szCs w:val="24"/>
        </w:rPr>
        <w:t>应达到0.1%FS；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20、</w:t>
      </w:r>
      <w:r>
        <w:rPr>
          <w:rFonts w:hint="eastAsia" w:ascii="宋体" w:hAnsi="宋体" w:cs="宋体"/>
          <w:kern w:val="0"/>
          <w:sz w:val="24"/>
        </w:rPr>
        <w:t>检测仪在正常工作状态下，变异系数CV≤1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%；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contextualSpacing/>
        <w:jc w:val="both"/>
        <w:textAlignment w:val="auto"/>
        <w:outlineLvl w:val="9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</w:rPr>
        <w:t>、信号源输出电压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应达到</w:t>
      </w:r>
      <w:r>
        <w:rPr>
          <w:rFonts w:ascii="宋体" w:hAnsi="宋体" w:cs="宋体"/>
          <w:kern w:val="0"/>
          <w:sz w:val="24"/>
        </w:rPr>
        <w:t>7.75V</w:t>
      </w:r>
      <w:r>
        <w:rPr>
          <w:rFonts w:hint="eastAsia" w:ascii="宋体" w:hAnsi="宋体" w:cs="宋体"/>
          <w:kern w:val="0"/>
          <w:sz w:val="24"/>
        </w:rPr>
        <w:t>±</w:t>
      </w:r>
      <w:r>
        <w:rPr>
          <w:rFonts w:ascii="宋体" w:hAnsi="宋体" w:cs="宋体"/>
          <w:kern w:val="0"/>
          <w:sz w:val="24"/>
        </w:rPr>
        <w:t>0.3V</w:t>
      </w:r>
      <w:r>
        <w:rPr>
          <w:rFonts w:hint="eastAsia" w:ascii="宋体" w:hAnsi="宋体" w:cs="宋体"/>
          <w:kern w:val="0"/>
          <w:sz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22、</w:t>
      </w:r>
      <w:r>
        <w:rPr>
          <w:rFonts w:hint="eastAsia" w:ascii="宋体" w:hAnsi="宋体"/>
          <w:sz w:val="24"/>
          <w:szCs w:val="24"/>
        </w:rPr>
        <w:t>设备安全级别应达到Ⅱ类；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23、</w:t>
      </w:r>
      <w:r>
        <w:rPr>
          <w:rFonts w:hint="eastAsia" w:ascii="宋体" w:hAnsi="宋体"/>
          <w:sz w:val="24"/>
          <w:szCs w:val="24"/>
        </w:rPr>
        <w:t>主机功率</w:t>
      </w:r>
      <w:r>
        <w:rPr>
          <w:rFonts w:hint="eastAsia" w:ascii="宋体" w:hAnsi="宋体"/>
          <w:sz w:val="24"/>
          <w:szCs w:val="24"/>
          <w:lang w:eastAsia="zh-CN"/>
        </w:rPr>
        <w:t>≤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00W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contextualSpacing/>
        <w:jc w:val="both"/>
        <w:textAlignment w:val="auto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24、</w:t>
      </w:r>
      <w:r>
        <w:rPr>
          <w:rFonts w:hint="eastAsia" w:ascii="宋体" w:hAnsi="宋体" w:cs="宋体"/>
          <w:kern w:val="0"/>
          <w:sz w:val="24"/>
          <w:szCs w:val="24"/>
        </w:rPr>
        <w:t>设备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通过</w:t>
      </w:r>
      <w:r>
        <w:rPr>
          <w:rFonts w:hint="eastAsia" w:ascii="宋体" w:hAnsi="宋体" w:cs="宋体"/>
          <w:kern w:val="0"/>
          <w:sz w:val="24"/>
          <w:szCs w:val="24"/>
        </w:rPr>
        <w:t>国家审批部门的医疗器械标准审批；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contextualSpacing/>
        <w:jc w:val="both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25、设备获得掌型中医经络仪检测方法的发明专利；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contextualSpacing/>
        <w:jc w:val="both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>26、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设备符合国家卫计委《远程医疗信息系统建设技术指南》（2014版）远程医疗服务站点建设要求；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27、经络检测软件系统具备国家级计算机软件著作权登记证书；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Chars="0" w:right="0" w:rightChars="0"/>
        <w:jc w:val="both"/>
        <w:textAlignment w:val="auto"/>
        <w:outlineLvl w:val="9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28、设备为国家中医自主品牌。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both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/>
          <w:b/>
          <w:bCs/>
          <w:sz w:val="24"/>
          <w:szCs w:val="24"/>
        </w:rPr>
        <w:t>主要配置：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both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中医经络检测分析系统V2.0              1套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both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工业计算机主机及显示器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1套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both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诊疗辅助工作台                         1套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both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经络检测单元                           1套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both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中医经络时辰表                         1套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其他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1、质保≥3年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28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2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pacing w:val="28"/>
          <w:sz w:val="24"/>
          <w:szCs w:val="24"/>
          <w:lang w:eastAsia="zh-CN"/>
        </w:rPr>
        <w:t>付款方式：</w:t>
      </w:r>
      <w:r>
        <w:rPr>
          <w:rFonts w:hint="eastAsia" w:ascii="宋体" w:hAnsi="宋体" w:eastAsia="宋体" w:cs="宋体"/>
          <w:spacing w:val="28"/>
          <w:sz w:val="24"/>
          <w:szCs w:val="24"/>
          <w:u w:val="none"/>
        </w:rPr>
        <w:t>货到安装验收合格后甲方支付</w:t>
      </w:r>
      <w:r>
        <w:rPr>
          <w:rFonts w:hint="eastAsia" w:ascii="宋体" w:hAnsi="宋体" w:eastAsia="宋体" w:cs="宋体"/>
          <w:spacing w:val="28"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pacing w:val="28"/>
          <w:sz w:val="24"/>
          <w:szCs w:val="24"/>
          <w:u w:val="none"/>
        </w:rPr>
        <w:t>0%货款</w:t>
      </w:r>
      <w:r>
        <w:rPr>
          <w:rFonts w:hint="eastAsia" w:ascii="宋体" w:hAnsi="宋体" w:eastAsia="宋体" w:cs="宋体"/>
          <w:spacing w:val="28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spacing w:val="28"/>
          <w:sz w:val="24"/>
          <w:szCs w:val="24"/>
          <w:u w:val="none"/>
        </w:rPr>
        <w:t>安装验收合格1年后无质量及其他问题，甲方</w:t>
      </w:r>
      <w:r>
        <w:rPr>
          <w:rFonts w:hint="eastAsia" w:ascii="宋体" w:hAnsi="宋体" w:eastAsia="宋体" w:cs="宋体"/>
          <w:spacing w:val="28"/>
          <w:sz w:val="24"/>
          <w:szCs w:val="24"/>
          <w:u w:val="none"/>
          <w:lang w:val="en-US" w:eastAsia="zh-CN"/>
        </w:rPr>
        <w:t>再</w:t>
      </w:r>
      <w:r>
        <w:rPr>
          <w:rFonts w:hint="eastAsia" w:ascii="宋体" w:hAnsi="宋体" w:eastAsia="宋体" w:cs="宋体"/>
          <w:spacing w:val="28"/>
          <w:sz w:val="24"/>
          <w:szCs w:val="24"/>
          <w:u w:val="none"/>
        </w:rPr>
        <w:t>支付10%货款</w:t>
      </w:r>
      <w:r>
        <w:rPr>
          <w:rFonts w:hint="eastAsia" w:ascii="宋体" w:hAnsi="宋体" w:eastAsia="宋体" w:cs="宋体"/>
          <w:spacing w:val="28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76EF"/>
    <w:multiLevelType w:val="singleLevel"/>
    <w:tmpl w:val="009676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06EE31"/>
    <w:multiLevelType w:val="singleLevel"/>
    <w:tmpl w:val="3D06EE3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05055"/>
    <w:rsid w:val="0CF05055"/>
    <w:rsid w:val="0FA07256"/>
    <w:rsid w:val="11B41B7D"/>
    <w:rsid w:val="125543F0"/>
    <w:rsid w:val="15946460"/>
    <w:rsid w:val="162726FC"/>
    <w:rsid w:val="23786A08"/>
    <w:rsid w:val="259F5322"/>
    <w:rsid w:val="2A2F4FBF"/>
    <w:rsid w:val="2A624681"/>
    <w:rsid w:val="2D92584E"/>
    <w:rsid w:val="355A5C03"/>
    <w:rsid w:val="39291119"/>
    <w:rsid w:val="40BE28ED"/>
    <w:rsid w:val="48C8508E"/>
    <w:rsid w:val="4C7F6C4F"/>
    <w:rsid w:val="58366550"/>
    <w:rsid w:val="594502F4"/>
    <w:rsid w:val="645148E9"/>
    <w:rsid w:val="6A906888"/>
    <w:rsid w:val="6A952A6B"/>
    <w:rsid w:val="6CEF50D0"/>
    <w:rsid w:val="74051B92"/>
    <w:rsid w:val="7A037EE9"/>
    <w:rsid w:val="7A081F33"/>
    <w:rsid w:val="7C6B1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2017-07-24T05:32:00Z</dcterms:created>
  <dc:creator>hajingyang</dc:creator>
  <cp:lastModifiedBy>蓝色天空</cp:lastModifiedBy>
  <dcterms:modified xsi:type="dcterms:W3CDTF">2019-03-19T05:45:32Z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