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江苏省第二中医院关于消毒供应追溯系统调研需求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软件整体要求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满足中华人民共和国卫生行业标准WS310-2016《医院消毒供应中心第1部分：管理规范》、《医院消毒供应中心第2部分：清洗消毒及灭菌技术操作规范》、《医院消毒供应中心第3部分：清洗消毒及灭菌效果监测标准》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系统支持重复使用的诊疗器械、器具和物品（以下简称器械或消毒包）处理及使用流程的信息记录功能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系统支持消毒物品全生命周期的跟踪与管理，涵盖医院消毒供应的各个环节，实现全程信息化管理，可以为质量追溯、物品追踪与召回等应用提供详尽准确的信息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系统支持器械处理及使用全流程语音提示功能。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系统支持主要清洗灭菌设备实时监控功能。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系统具备对外服务功能，支持服务对象的离线和在线对接功能。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系统具备与外来器械厂家的离线和在线对接功能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形成闭环的前后周期性追溯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支持与医院HIS或手麻系统对接获取病人信息和手术室排班信息，形成完整闭环的追溯信息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8、支持正反追溯，可以展现一套器械生命周期内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每次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器械处理和病人使用信息的前后完整关系追溯链，实现真正意义上的完整追溯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软件功能要求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回收管理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支持器械回收信息的记录，包含回收人、接收人、回收时间、回收科室、回收器械、数量等信息；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支持常规回收、请领回收、借用回收、手术包回收、外来器械回收等多种回收方式；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支持扫描枪扫描条码回收；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支持PDA扫描条码回收；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支持人工录入回收；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支持根据请领单回收；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支持器械科室判断、支持重复判断；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支持器械包及包内器械的图片显示，支持多张图片显示；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支持包内器械列表显示；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支持包内器械语音清点；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支持器械丢失损坏登记，固定器械包未进行器械补全操作，下次处理仍显示丢失损坏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 w:bidi="ar-SA"/>
        </w:rPr>
        <w:t>在追溯记录中体现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支持回收拍照功能；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支持回收指引功能，可自动弹出器械回收指引及注意事项；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支持借用器械回收管理，支持借用器械扫描自动归还；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支持器械加急登记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加急器械置顶显示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，支持器械感染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类型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登记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及感染处置详情记录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支持外来器械回收功能，支持外来器械分包，支持外来器械费用录入，支持外来器械二次反洗登记，支持外来器械病人手术信息调取，支持根据条码自动获取厂家录入的信息；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支持回收单据管理；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支持回收明细管理。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清洗管理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支持器械清洗信息的记录，包含登记人、清洗人、清洗机、清洗架、清洗批次号、登记时间、清洗时间等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支持实现器械包与清洗筐标识关联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支持手工清洗登记，支持机械清洗登记；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支持扫描枪扫描条码清洗登记；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支持PDA扫描条码清洗登记；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支持人工选择清洗登记；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支持分步清洗登记功能，实现手工清洗每一步骤的精细记录；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支持清洗设备运行开始、运行结束后自动改变器械包清洗状态功能；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支持清洗方式判断；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支持清洗指引，可自动弹出器械清洗指引及注意事项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支持清洗时间控制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 w:bidi="ar-SA"/>
        </w:rPr>
        <w:t>与提醒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支持批量器械清洗检查，支持单个器械清洗检查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 w:bidi="ar-SA"/>
        </w:rPr>
        <w:t>并在追溯中体现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支持每批次清洗器械查询功能；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支持外来器械二次反洗后取走登记；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支持清洗设备运行数据实时显示，支持清洗设备运行数据报表和趋势图查看。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支持对消毒清洗质量进行审核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 w:bidi="ar-SA"/>
        </w:rPr>
        <w:t>，不合格器械退回重新清洗，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并与初洗器械区分显示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配装管理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支持器械配装信息的记录，包含器械检查人、配装人、核对人、配装时间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支持配包质量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 w:bidi="ar-SA"/>
        </w:rPr>
        <w:t>双人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审核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等；</w:t>
      </w:r>
    </w:p>
    <w:p>
      <w:pP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支持分步包装功能，实现器械检查、配包、核对分离操作；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支持扫描枪扫描条码自动打印条码；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支持器械包及包内器械的图片显示，支持多张图片显示；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支持包内器械列表显示；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支持包内器械语音清点；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支持器械丢失损坏登记，固定器械包未进行器械补全操作，下次处理仍显示丢失损坏；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支持配装拍照功能；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支持配装指引功能，可自动弹出器械配装指引及注意事项；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支持单个器械清洗质量登记功能；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支持单台电脑多打印机打印功能；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支持一维、二维码并支持多种标签样式；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支持超大超重登记、植入物登记；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支持包装材料临时更改功能；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支持打印管理功能，支持重复打印，支持灭菌后无法更改打印信息功能；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支持敷料接收功能，支持敷料请领接收功能；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支持配装单据管理；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支持配装明细管理。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支持配包时包内卡放入提醒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灭菌管理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支持器械灭菌信息的记录，包含登记人、灭菌员、灭菌器、灭菌批次、灭菌时间、检查人、检查时间等；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支持灭菌登记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 w:bidi="ar-SA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支持每日BD监测提醒；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支持扫描枪扫描条码灭菌登记；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支持PDA扫描条码灭菌登记；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支持人工选择灭菌登记；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支持灭菌方式判断；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支持灭菌设备运行开始、运行结束后自动改变器械包灭菌状态功能；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支持批量器械灭菌检查，支持单个器械灭菌检查；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支持灭菌设备运行数据实时显示，支持灭菌设备运行数据报表和趋势图查看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支持登记灭菌中断情况，灭菌中断后可选择重新灭菌，并留有记录可追溯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支持每批次灭菌器械查询功能；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支持关联批次功能并记录日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</w:p>
    <w:p>
      <w:pP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支持周期性和含植入物生物监测提醒并明确显示是否需要生物监测；</w:t>
      </w:r>
    </w:p>
    <w:p>
      <w:pP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支持灭菌时间控制与提醒；</w:t>
      </w:r>
    </w:p>
    <w:p>
      <w:pP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支持物理监测、化学监测、生物监测质量审核登记，支持二次确认并告知后续包流向，并留存审核凭据图像资料;</w:t>
      </w:r>
    </w:p>
    <w:p>
      <w:pP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支持器械包湿包登记.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发放管理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支持器械发放信息的记录，包含发放人、下送人、发放科室、发放器械、数量等；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支持常规发放、请领发放、对比发放等多种发放方式；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支持扫描枪扫描条码发放；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支持PDA扫描条码发放；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支持人工录入发放；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支持根据请领单发放；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支持根据回收单对比发放；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支持借用发放；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支持无菌库管理，支持库存有效期预警、支持库存盘点；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支持库位管理；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支持发放时有效期判断，支持发放时生物监测结果判断，支持发放时晾放时间判断；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支持发放单打印；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支持发放单据管理；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支持发放明细管理。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仓库管理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支持多仓库管理，可管理器械、耗材、一次性物品等；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支持入库、出库、退库等仓库管理功能；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支持库存管理功能，支持有效期预警功能；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支持报损、报溢、调入、调出功能；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支持库存查询、出入库查询功能。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外来器械管理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支持外来器械登记功能；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支持外来器械分包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 w:bidi="ar-SA"/>
        </w:rPr>
        <w:t>明细信息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支持外来器械费用录入、厂家信息录入、病人信息录入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 w:bidi="ar-SA"/>
        </w:rPr>
        <w:t>医生相关信息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支持外来器械扫描回收条码后自动登记反洗功能；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支持外来器械二次反洗查询功能；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支持外来器械信息表打印功能；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支持外来器械厂家对接功能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;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支持外来器械特殊感染类型登记及感染处置详情记录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监测管理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支持清洗机监测登记功能；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支持纯水监测登记功能；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支持酸化水监测登记功能；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支持含氯消毒液监测登记功能；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支持压力蒸汽灭菌器监测登记功能；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支持等离子灭菌器监测登记功能；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支持环氧乙烷灭菌器监测登记功能；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支持过氧乙酸灭菌器监测登记功能；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支持温湿度监测登记功能；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支持医用热封口机监测登记功能。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手术室管理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支持器械手术室全流程运转过程的信息记录；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支持手术室接收器械登记及查询功能；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支持器械出库到手术房间登记及查询功能；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支持手术房间接收器械登记及查询功能；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支持术前检查登记及查询功能；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支持病人使用器械登记及查询功能；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支持术后清点登记及查询功能；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支持器械交接登记及查询功能；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支持无菌库管理功能，支持库存预警，支持盘点；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支持器械申领功能；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支持一次性物品申领功能；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支持器械处理质量反馈功能；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支持器械加急处理登记功能；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支持病人信息对接功能，支持CSSD系统使用登记、手麻系统使用登记等多种接口方式，支持病人使用信息回传，实现多个系统都能查询使用信息。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10、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质控管理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支持质控登记功能；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支持质控统计功能；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支持质控分析功能；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支持清洗质量管理功能，支持多种分析方式，支持多种图表显示。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支持配装质量管理功能；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支持灭菌质量管理功能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支持分级权限管理，支持不同区域、不同科室的工作站权限管理；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支持管理员授权管理，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 w:bidi="ar-SA"/>
        </w:rPr>
        <w:t>敏感操作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进行授权并留存日志可查询；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支持覆盖人、财、物及各流程的报表统计分析，包括但不限于人员绩效、回收统计、发放费用等，满足各类型数据管理需求；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支持设备及人员工作量管理；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支持工作量系数设置与绩效管理；支持消毒灭菌物品成本管理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11、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追溯管理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支持消毒包追溯查询功能，可查询器械整个处理流程信息，可直接查询器械清洗灭菌报表及趋势图，可查询器械使用病人的信息；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支持消毒包日志查询功能，可查询器械处理流程完整日志；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支持召回管理，可根据条码或批次，查询同一批次的器械信息及去向，可查询上次生物监测合格后的器械信息及去向。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12、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日常管理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支持排班管理；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支持人员培训管理；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支持手术安排情况查询；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支持CSSD实时器械处理情况查询。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13、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报表管理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支持申领统计、回收统计、清洗统计、配装统计、发放统计；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支持工作量统计；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支持费用统计；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支持定制统计。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14、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通知管理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支持CSSD发布公告、发送信息；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支持加急提醒；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支持新请领物品提醒；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支持待回收物品提醒；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支持监测未登记提醒；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支持库存有效期提醒。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硬件要求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请供应商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推荐）</w:t>
      </w:r>
    </w:p>
    <w:tbl>
      <w:tblPr>
        <w:tblStyle w:val="4"/>
        <w:tblW w:w="95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017"/>
        <w:gridCol w:w="1575"/>
        <w:gridCol w:w="1440"/>
        <w:gridCol w:w="3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产品名称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规格型号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数量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ab/>
      </w:r>
      <w:r>
        <w:rPr>
          <w:rFonts w:hint="eastAsia" w:ascii="仿宋" w:hAnsi="仿宋" w:eastAsia="仿宋" w:cs="仿宋"/>
          <w:color w:val="auto"/>
          <w:sz w:val="30"/>
          <w:szCs w:val="3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TY2ZTUwZDFiNGIwMTQyY2QwNjkxYTlmY2E0NzYifQ=="/>
  </w:docVars>
  <w:rsids>
    <w:rsidRoot w:val="00367E9E"/>
    <w:rsid w:val="00122F69"/>
    <w:rsid w:val="00134C02"/>
    <w:rsid w:val="001A3BE3"/>
    <w:rsid w:val="001C2F46"/>
    <w:rsid w:val="001F4D98"/>
    <w:rsid w:val="002225D7"/>
    <w:rsid w:val="00255D9A"/>
    <w:rsid w:val="002641AA"/>
    <w:rsid w:val="0029447E"/>
    <w:rsid w:val="003035DB"/>
    <w:rsid w:val="00367E9E"/>
    <w:rsid w:val="00383F66"/>
    <w:rsid w:val="00486D8B"/>
    <w:rsid w:val="00574B9C"/>
    <w:rsid w:val="005F317E"/>
    <w:rsid w:val="00674A46"/>
    <w:rsid w:val="00676AA0"/>
    <w:rsid w:val="006C48F2"/>
    <w:rsid w:val="00762C98"/>
    <w:rsid w:val="007B7E4D"/>
    <w:rsid w:val="007D7886"/>
    <w:rsid w:val="007F3890"/>
    <w:rsid w:val="008276E7"/>
    <w:rsid w:val="0086003A"/>
    <w:rsid w:val="0086220D"/>
    <w:rsid w:val="0087456C"/>
    <w:rsid w:val="00875167"/>
    <w:rsid w:val="008F5144"/>
    <w:rsid w:val="00905AE5"/>
    <w:rsid w:val="00941CA3"/>
    <w:rsid w:val="00960295"/>
    <w:rsid w:val="009C03B4"/>
    <w:rsid w:val="00A405A7"/>
    <w:rsid w:val="00A45BD3"/>
    <w:rsid w:val="00A54136"/>
    <w:rsid w:val="00A54F74"/>
    <w:rsid w:val="00AE5978"/>
    <w:rsid w:val="00AF3CA0"/>
    <w:rsid w:val="00B64FB4"/>
    <w:rsid w:val="00BD74A7"/>
    <w:rsid w:val="00C13B42"/>
    <w:rsid w:val="00C6442F"/>
    <w:rsid w:val="00CB60FA"/>
    <w:rsid w:val="00CC5A64"/>
    <w:rsid w:val="00CD00FF"/>
    <w:rsid w:val="00CD2E4D"/>
    <w:rsid w:val="00D0310A"/>
    <w:rsid w:val="00D44FFB"/>
    <w:rsid w:val="00D7504E"/>
    <w:rsid w:val="00DF77B9"/>
    <w:rsid w:val="00E1472D"/>
    <w:rsid w:val="00EB72F9"/>
    <w:rsid w:val="00ED2151"/>
    <w:rsid w:val="00ED37B2"/>
    <w:rsid w:val="00EE3032"/>
    <w:rsid w:val="00EF734E"/>
    <w:rsid w:val="0CD3272B"/>
    <w:rsid w:val="1E18576B"/>
    <w:rsid w:val="2CC161E3"/>
    <w:rsid w:val="3C4137FB"/>
    <w:rsid w:val="49B6152D"/>
    <w:rsid w:val="4EAA7B36"/>
    <w:rsid w:val="4F6A0283"/>
    <w:rsid w:val="50351693"/>
    <w:rsid w:val="5CD93519"/>
    <w:rsid w:val="72A3002A"/>
    <w:rsid w:val="73D13110"/>
    <w:rsid w:val="7EF6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7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3449</Words>
  <Characters>3484</Characters>
  <Lines>23</Lines>
  <Paragraphs>6</Paragraphs>
  <TotalTime>2</TotalTime>
  <ScaleCrop>false</ScaleCrop>
  <LinksUpToDate>false</LinksUpToDate>
  <CharactersWithSpaces>3488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2021-08-16T05:40:00Z</dcterms:created>
  <dc:creator>Administrator</dc:creator>
  <cp:lastModifiedBy>施吉利</cp:lastModifiedBy>
  <dcterms:modified xsi:type="dcterms:W3CDTF">2024-06-04T23:57:52Z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5CD7FE161F924AE98B1BEA30A73F91EB_13</vt:lpwstr>
  </property>
</Properties>
</file>