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21" w:tblpY="969"/>
        <w:tblOverlap w:val="never"/>
        <w:tblW w:w="15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95"/>
        <w:gridCol w:w="900"/>
        <w:gridCol w:w="1245"/>
        <w:gridCol w:w="1140"/>
        <w:gridCol w:w="5505"/>
        <w:gridCol w:w="1447"/>
        <w:gridCol w:w="2033"/>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bookmarkStart w:id="0" w:name="_GoBack"/>
            <w:bookmarkEnd w:id="0"/>
            <w:r>
              <w:rPr>
                <w:rFonts w:hint="eastAsia"/>
                <w:sz w:val="24"/>
                <w:szCs w:val="24"/>
                <w:vertAlign w:val="baseline"/>
                <w:lang w:val="en-US" w:eastAsia="zh-CN"/>
              </w:rPr>
              <w:t>20</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rFonts w:hint="eastAsia" w:eastAsiaTheme="minorEastAsia"/>
                <w:sz w:val="24"/>
                <w:szCs w:val="24"/>
                <w:vertAlign w:val="baseline"/>
                <w:lang w:val="en-US" w:eastAsia="zh-CN"/>
              </w:rPr>
            </w:pPr>
            <w:r>
              <w:rPr>
                <w:rFonts w:hint="eastAsia"/>
                <w:sz w:val="24"/>
                <w:szCs w:val="24"/>
                <w:vertAlign w:val="baseline"/>
                <w:lang w:val="en-US" w:eastAsia="zh-CN"/>
              </w:rPr>
              <w:t>2017.4</w:t>
            </w: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许尤琪</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健脾活血复方联合TACE治疗肝癌的疗效评价及作用机理研究</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YB2015051</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21</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盛蕾</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基于脑源性神经营养因子学说探讨中药复方制剂治疗中重度抑郁症快速起效的疗效观察和机制研究</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YB2015052</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22</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郑亮</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加味五七散对非甾体类抗炎药相关性胃溃疡的临床观察及大鼠胃粘膜p38MAPK信号通路表达的影响</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YB2015053</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23</w:t>
            </w:r>
          </w:p>
          <w:p>
            <w:pPr>
              <w:spacing w:line="240" w:lineRule="auto"/>
              <w:rPr>
                <w:rFonts w:hint="eastAsia"/>
                <w:sz w:val="24"/>
                <w:szCs w:val="24"/>
                <w:vertAlign w:val="baseline"/>
                <w:lang w:val="en-US" w:eastAsia="zh-CN"/>
              </w:rPr>
            </w:pP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邵华</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补肾调周法调节垂体分泌的相关激素缓解乳腺增生性乳痈的临床观察研究</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YB2015054</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24</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丁洪伟</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水蛭、地龙提取物疏血通预防胸腰椎骨折围手术期VTE的临床研究及其过程中D-二聚体、TpP变化规律的临床观察分析</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YB2015055</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25</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朱保华</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骨痿1号治疗原发性骨质疏松症的临床疗效观察及骨密度、PINP、骨钙素的变化</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YB2015056</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26</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熊嘉玮</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腹三针结合醒脑开窍针刺法治疗脑梗死后尿失禁临床研究</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YB2015057</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27</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rPr>
              <w:t>程喜荣</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乳黄冰香膏外敷预防PICC置管后机械性静脉炎的疗效观察</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PY201502</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28</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jc w:val="center"/>
              <w:rPr>
                <w:rFonts w:hint="eastAsia"/>
                <w:sz w:val="24"/>
                <w:szCs w:val="24"/>
                <w:vertAlign w:val="baseline"/>
                <w:lang w:eastAsia="zh-CN"/>
              </w:rPr>
            </w:pPr>
            <w:r>
              <w:rPr>
                <w:rFonts w:hint="eastAsia"/>
                <w:sz w:val="24"/>
                <w:szCs w:val="24"/>
                <w:lang w:eastAsia="zh-CN"/>
              </w:rPr>
              <w:t>谢发清</w:t>
            </w:r>
          </w:p>
        </w:tc>
        <w:tc>
          <w:tcPr>
            <w:tcW w:w="5505" w:type="dxa"/>
            <w:vAlign w:val="center"/>
          </w:tcPr>
          <w:p>
            <w:pPr>
              <w:spacing w:line="240" w:lineRule="auto"/>
              <w:jc w:val="center"/>
              <w:rPr>
                <w:rFonts w:hint="eastAsia"/>
                <w:sz w:val="24"/>
                <w:szCs w:val="24"/>
                <w:vertAlign w:val="baseline"/>
                <w:lang w:eastAsia="zh-CN"/>
              </w:rPr>
            </w:pPr>
            <w:r>
              <w:rPr>
                <w:rFonts w:hint="eastAsia"/>
                <w:sz w:val="24"/>
                <w:szCs w:val="24"/>
              </w:rPr>
              <w:t xml:space="preserve">活血行气利水法对髋部骨折术后深静脉栓塞影响的临床研究 </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省中管局</w:t>
            </w:r>
          </w:p>
        </w:tc>
        <w:tc>
          <w:tcPr>
            <w:tcW w:w="2033" w:type="dxa"/>
            <w:vAlign w:val="center"/>
          </w:tcPr>
          <w:p>
            <w:pPr>
              <w:spacing w:line="240" w:lineRule="auto"/>
              <w:jc w:val="center"/>
              <w:rPr>
                <w:rFonts w:hint="eastAsia"/>
                <w:sz w:val="24"/>
                <w:szCs w:val="24"/>
                <w:vertAlign w:val="baseline"/>
                <w:lang w:val="en-US" w:eastAsia="zh-CN"/>
              </w:rPr>
            </w:pPr>
            <w:r>
              <w:rPr>
                <w:rFonts w:hint="eastAsia"/>
                <w:sz w:val="24"/>
                <w:szCs w:val="24"/>
              </w:rPr>
              <w:t xml:space="preserve">JD201524 </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29</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2015</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eastAsia="zh-CN"/>
              </w:rPr>
            </w:pPr>
            <w:r>
              <w:rPr>
                <w:rFonts w:hint="eastAsia"/>
                <w:sz w:val="24"/>
                <w:szCs w:val="24"/>
                <w:lang w:eastAsia="zh-CN"/>
              </w:rPr>
              <w:t>江雪梅</w:t>
            </w:r>
          </w:p>
        </w:tc>
        <w:tc>
          <w:tcPr>
            <w:tcW w:w="5505" w:type="dxa"/>
            <w:vAlign w:val="center"/>
          </w:tcPr>
          <w:p>
            <w:pPr>
              <w:spacing w:line="240" w:lineRule="auto"/>
              <w:rPr>
                <w:rFonts w:hint="eastAsia"/>
                <w:sz w:val="24"/>
                <w:szCs w:val="24"/>
                <w:vertAlign w:val="baseline"/>
                <w:lang w:eastAsia="zh-CN"/>
              </w:rPr>
            </w:pPr>
            <w:r>
              <w:rPr>
                <w:rFonts w:hint="eastAsia"/>
                <w:sz w:val="24"/>
                <w:szCs w:val="24"/>
                <w:lang w:eastAsia="zh-CN"/>
              </w:rPr>
              <w:t>越鞠丸治疗抑郁症起效时间和中枢机制的磁共振弥散张量成像研究</w:t>
            </w:r>
          </w:p>
        </w:tc>
        <w:tc>
          <w:tcPr>
            <w:tcW w:w="1447" w:type="dxa"/>
            <w:vAlign w:val="center"/>
          </w:tcPr>
          <w:p>
            <w:pPr>
              <w:spacing w:line="240" w:lineRule="auto"/>
              <w:rPr>
                <w:rFonts w:hint="eastAsia"/>
                <w:sz w:val="24"/>
                <w:szCs w:val="24"/>
                <w:vertAlign w:val="baseline"/>
                <w:lang w:eastAsia="zh-CN"/>
              </w:rPr>
            </w:pPr>
            <w:r>
              <w:rPr>
                <w:rFonts w:hint="eastAsia"/>
                <w:sz w:val="24"/>
                <w:szCs w:val="24"/>
                <w:lang w:val="en-US" w:eastAsia="zh-CN"/>
              </w:rPr>
              <w:t>省卫计委课题</w:t>
            </w:r>
          </w:p>
        </w:tc>
        <w:tc>
          <w:tcPr>
            <w:tcW w:w="2033" w:type="dxa"/>
            <w:vAlign w:val="center"/>
          </w:tcPr>
          <w:p>
            <w:pPr>
              <w:spacing w:line="240" w:lineRule="auto"/>
              <w:rPr>
                <w:rFonts w:hint="eastAsia"/>
                <w:sz w:val="24"/>
                <w:szCs w:val="24"/>
                <w:vertAlign w:val="baseline"/>
                <w:lang w:val="en-US" w:eastAsia="zh-CN"/>
              </w:rPr>
            </w:pPr>
            <w:r>
              <w:rPr>
                <w:rFonts w:hint="eastAsia"/>
                <w:sz w:val="24"/>
                <w:szCs w:val="24"/>
                <w:lang w:val="en-US" w:eastAsia="zh-CN"/>
              </w:rPr>
              <w:t>Z201504</w:t>
            </w: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30</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2016.6</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3年</w:t>
            </w:r>
          </w:p>
        </w:tc>
        <w:tc>
          <w:tcPr>
            <w:tcW w:w="1245" w:type="dxa"/>
            <w:vAlign w:val="center"/>
          </w:tcPr>
          <w:p>
            <w:pPr>
              <w:spacing w:line="240" w:lineRule="auto"/>
              <w:rPr>
                <w:rFonts w:hint="eastAsia" w:eastAsiaTheme="minorEastAsia"/>
                <w:sz w:val="24"/>
                <w:szCs w:val="24"/>
                <w:vertAlign w:val="baseline"/>
                <w:lang w:val="en-US" w:eastAsia="zh-CN"/>
              </w:rPr>
            </w:pPr>
          </w:p>
        </w:tc>
        <w:tc>
          <w:tcPr>
            <w:tcW w:w="1140"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许尤琪</w:t>
            </w:r>
          </w:p>
        </w:tc>
        <w:tc>
          <w:tcPr>
            <w:tcW w:w="5505"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基于</w:t>
            </w:r>
            <w:r>
              <w:rPr>
                <w:rFonts w:hint="eastAsia"/>
                <w:sz w:val="24"/>
                <w:szCs w:val="24"/>
                <w:vertAlign w:val="baseline"/>
                <w:lang w:val="en-US" w:eastAsia="zh-CN"/>
              </w:rPr>
              <w:t>CAFs通路介导的肿瘤微环境探讨健脾化痰方干预胃癌转移的作用机制</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省自然基金</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BK20161605</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31</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2016.10</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rFonts w:hint="eastAsia" w:eastAsiaTheme="minorEastAsia"/>
                <w:sz w:val="24"/>
                <w:szCs w:val="24"/>
                <w:vertAlign w:val="baseline"/>
                <w:lang w:val="en-US" w:eastAsia="zh-CN"/>
              </w:rPr>
            </w:pPr>
          </w:p>
        </w:tc>
        <w:tc>
          <w:tcPr>
            <w:tcW w:w="1140" w:type="dxa"/>
            <w:vAlign w:val="center"/>
          </w:tcPr>
          <w:p>
            <w:pPr>
              <w:spacing w:line="240" w:lineRule="auto"/>
              <w:rPr>
                <w:rFonts w:hint="eastAsia" w:eastAsiaTheme="minorEastAsia"/>
                <w:sz w:val="24"/>
                <w:szCs w:val="24"/>
                <w:vertAlign w:val="baseline"/>
                <w:lang w:eastAsia="zh-CN"/>
              </w:rPr>
            </w:pPr>
            <w:r>
              <w:rPr>
                <w:rFonts w:hint="eastAsia"/>
                <w:sz w:val="24"/>
                <w:szCs w:val="24"/>
                <w:vertAlign w:val="baseline"/>
                <w:lang w:val="en-US" w:eastAsia="zh-CN"/>
              </w:rPr>
              <w:t>朱羽佳</w:t>
            </w:r>
          </w:p>
        </w:tc>
        <w:tc>
          <w:tcPr>
            <w:tcW w:w="5505"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中药治疗急性中风胃肠功能紊乱的临床观察</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省中管局“中医脑病学”重点学科开放课题</w:t>
            </w:r>
          </w:p>
        </w:tc>
        <w:tc>
          <w:tcPr>
            <w:tcW w:w="2033" w:type="dxa"/>
            <w:vAlign w:val="center"/>
          </w:tcPr>
          <w:p>
            <w:pPr>
              <w:spacing w:line="240" w:lineRule="auto"/>
              <w:rPr>
                <w:rFonts w:hint="eastAsia"/>
                <w:sz w:val="24"/>
                <w:szCs w:val="24"/>
                <w:vertAlign w:val="baseline"/>
                <w:lang w:val="en-US" w:eastAsia="zh-CN"/>
              </w:rPr>
            </w:pP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32</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2016.10</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肖婧</w:t>
            </w:r>
          </w:p>
        </w:tc>
        <w:tc>
          <w:tcPr>
            <w:tcW w:w="5505" w:type="dxa"/>
            <w:vAlign w:val="center"/>
          </w:tcPr>
          <w:p>
            <w:pPr>
              <w:spacing w:line="240" w:lineRule="auto"/>
              <w:rPr>
                <w:rFonts w:hint="eastAsia"/>
                <w:sz w:val="24"/>
                <w:szCs w:val="24"/>
                <w:vertAlign w:val="baseline"/>
                <w:lang w:eastAsia="zh-CN"/>
              </w:rPr>
            </w:pPr>
            <w:r>
              <w:rPr>
                <w:rFonts w:hint="eastAsia"/>
                <w:sz w:val="24"/>
                <w:szCs w:val="24"/>
                <w:vertAlign w:val="baseline"/>
                <w:lang w:val="en-US" w:eastAsia="zh-CN"/>
              </w:rPr>
              <w:t>“定眩颗粒”对后循环缺血性眩晕患者的内皮租细胞及颈动脉混合性斑块的影响</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省中管局“中医脑病学”重点学科开放课题</w:t>
            </w:r>
          </w:p>
        </w:tc>
        <w:tc>
          <w:tcPr>
            <w:tcW w:w="2033" w:type="dxa"/>
            <w:vAlign w:val="center"/>
          </w:tcPr>
          <w:p>
            <w:pPr>
              <w:spacing w:line="240" w:lineRule="auto"/>
              <w:rPr>
                <w:rFonts w:hint="eastAsia"/>
                <w:sz w:val="24"/>
                <w:szCs w:val="24"/>
                <w:vertAlign w:val="baseline"/>
                <w:lang w:val="en-US" w:eastAsia="zh-CN"/>
              </w:rPr>
            </w:pP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33</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2016.10</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朱羽佳</w:t>
            </w:r>
          </w:p>
        </w:tc>
        <w:tc>
          <w:tcPr>
            <w:tcW w:w="5505"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凉血通淤方治疗急性出血性中风胃肠功能紊乱的临床观察</w:t>
            </w:r>
          </w:p>
        </w:tc>
        <w:tc>
          <w:tcPr>
            <w:tcW w:w="1447"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省中管局“中医脑病学”重点学科开放课题</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NBKF201605</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34</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2016.11</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朱美华</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参麦及参附注射液对急性创伤患者肢体缺血再灌注后肺损伤的影响及其可能的机制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市科学技术委员会</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201611004</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35</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2016.11</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刘克琴</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从抑制炎症反应和气道粘液高分泌探讨清金化痰汤对慢性阻塞性肺疾病急性加重期的作用机制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建邺区科技局</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201611009</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36</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2016.12</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刘克琴</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从抑制炎症反应和气道粘液高分泌探讨清金化痰对慢性阻塞性肺疾病急性加重期的作用机制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市科技发展</w:t>
            </w:r>
          </w:p>
        </w:tc>
        <w:tc>
          <w:tcPr>
            <w:tcW w:w="2033" w:type="dxa"/>
            <w:vAlign w:val="center"/>
          </w:tcPr>
          <w:p>
            <w:pPr>
              <w:spacing w:line="240" w:lineRule="auto"/>
              <w:rPr>
                <w:rFonts w:hint="eastAsia"/>
                <w:sz w:val="24"/>
                <w:szCs w:val="24"/>
                <w:vertAlign w:val="baseline"/>
                <w:lang w:val="en-US" w:eastAsia="zh-CN"/>
              </w:rPr>
            </w:pP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37</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eastAsia="zh-CN"/>
              </w:rPr>
              <w:t>孙志广</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eastAsia="zh-CN"/>
              </w:rPr>
              <w:t>大黄潜在致癌风险机制及规避策略的研究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eastAsia="zh-CN"/>
              </w:rPr>
              <w:t>国家自然基金</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81673795</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61万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38</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倪光夏</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不同频率电针治疗突发性耳聋的临床研究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eastAsia="zh-CN"/>
              </w:rPr>
              <w:t>国家自然基金</w:t>
            </w:r>
          </w:p>
        </w:tc>
        <w:tc>
          <w:tcPr>
            <w:tcW w:w="2033" w:type="dxa"/>
            <w:vAlign w:val="center"/>
          </w:tcPr>
          <w:p>
            <w:pPr>
              <w:spacing w:line="240" w:lineRule="auto"/>
              <w:rPr>
                <w:rFonts w:hint="eastAsia"/>
                <w:sz w:val="24"/>
                <w:szCs w:val="24"/>
                <w:vertAlign w:val="baseline"/>
                <w:lang w:val="en-US" w:eastAsia="zh-CN"/>
              </w:rPr>
            </w:pP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39</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2017.1</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3年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张建斌</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浮针治疗早中期股骨头坏死的临床疗效研究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省中医局科研专项课题</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ZX2016B1</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40</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2016</w:t>
            </w:r>
          </w:p>
        </w:tc>
        <w:tc>
          <w:tcPr>
            <w:tcW w:w="900" w:type="dxa"/>
            <w:vAlign w:val="center"/>
          </w:tcPr>
          <w:p>
            <w:pPr>
              <w:spacing w:line="240" w:lineRule="auto"/>
              <w:rPr>
                <w:rFonts w:hint="eastAsia"/>
                <w:sz w:val="24"/>
                <w:szCs w:val="24"/>
                <w:vertAlign w:val="baseline"/>
                <w:lang w:val="en-US" w:eastAsia="zh-CN"/>
              </w:rPr>
            </w:pP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eastAsia="zh-CN"/>
              </w:rPr>
              <w:t>　</w:t>
            </w:r>
            <w:r>
              <w:rPr>
                <w:rFonts w:hint="eastAsia"/>
                <w:sz w:val="24"/>
                <w:szCs w:val="24"/>
                <w:vertAlign w:val="baseline"/>
                <w:lang w:val="en-US" w:eastAsia="zh-CN"/>
              </w:rPr>
              <w:t>王霞</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eastAsia="zh-CN"/>
              </w:rPr>
              <w:t>基于mTOR通路探讨猫人参调控自噬在胃黏膜细胞恶性转化中的机制研究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省青年基金项目</w:t>
            </w:r>
          </w:p>
        </w:tc>
        <w:tc>
          <w:tcPr>
            <w:tcW w:w="2033" w:type="dxa"/>
            <w:vAlign w:val="center"/>
          </w:tcPr>
          <w:p>
            <w:pPr>
              <w:spacing w:line="240" w:lineRule="auto"/>
              <w:rPr>
                <w:rFonts w:hint="eastAsia"/>
                <w:sz w:val="24"/>
                <w:szCs w:val="24"/>
                <w:vertAlign w:val="baseline"/>
                <w:lang w:val="en-US" w:eastAsia="zh-CN"/>
              </w:rPr>
            </w:pPr>
          </w:p>
        </w:tc>
        <w:tc>
          <w:tcPr>
            <w:tcW w:w="1180" w:type="dxa"/>
            <w:vAlign w:val="center"/>
          </w:tcPr>
          <w:p>
            <w:pPr>
              <w:spacing w:line="240" w:lineRule="auto"/>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41</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2017.6</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1年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郑亮</w:t>
            </w:r>
          </w:p>
        </w:tc>
        <w:tc>
          <w:tcPr>
            <w:tcW w:w="5505" w:type="dxa"/>
            <w:vAlign w:val="center"/>
          </w:tcPr>
          <w:p>
            <w:pPr>
              <w:spacing w:line="240" w:lineRule="auto"/>
              <w:rPr>
                <w:rFonts w:hint="eastAsia"/>
                <w:sz w:val="24"/>
                <w:szCs w:val="24"/>
                <w:vertAlign w:val="baseline"/>
                <w:lang w:eastAsia="zh-CN"/>
              </w:rPr>
            </w:pPr>
            <w:r>
              <w:rPr>
                <w:rFonts w:hint="eastAsia"/>
                <w:sz w:val="24"/>
                <w:szCs w:val="24"/>
                <w:vertAlign w:val="baseline"/>
                <w:lang w:eastAsia="zh-CN"/>
              </w:rPr>
              <w:t>异甘草酸镁治疗药物</w:t>
            </w:r>
            <w:r>
              <w:rPr>
                <w:rFonts w:hint="eastAsia"/>
                <w:sz w:val="24"/>
                <w:szCs w:val="24"/>
                <w:vertAlign w:val="baseline"/>
                <w:lang w:val="en-US" w:eastAsia="zh-CN"/>
              </w:rPr>
              <w:t>性肝损伤临床疗效观察</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北京医卫健康公益基金会</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YWJKJJHKJJ-B17515</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42</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2017.7</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董学梅</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滋阴地黄汤治疗湿性年龄相关性黄斑变性的临床研究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省中管局</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YB2017038</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43</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2017.7</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董克州</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中药益肺活血方干预炎症—血栓机制影响慢性阻塞性肺疾病血栓前状态的临床和实验研究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省中管局</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YB2017037</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44</w:t>
            </w:r>
          </w:p>
        </w:tc>
        <w:tc>
          <w:tcPr>
            <w:tcW w:w="139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2017.7</w:t>
            </w:r>
          </w:p>
        </w:tc>
        <w:tc>
          <w:tcPr>
            <w:tcW w:w="90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2年</w:t>
            </w:r>
          </w:p>
        </w:tc>
        <w:tc>
          <w:tcPr>
            <w:tcW w:w="1245" w:type="dxa"/>
            <w:vAlign w:val="center"/>
          </w:tcPr>
          <w:p>
            <w:pPr>
              <w:spacing w:line="240" w:lineRule="auto"/>
              <w:rPr>
                <w:sz w:val="24"/>
                <w:szCs w:val="24"/>
                <w:vertAlign w:val="baseline"/>
              </w:rPr>
            </w:pPr>
          </w:p>
        </w:tc>
        <w:tc>
          <w:tcPr>
            <w:tcW w:w="114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陆晔</w:t>
            </w:r>
          </w:p>
        </w:tc>
        <w:tc>
          <w:tcPr>
            <w:tcW w:w="5505"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半夏泻心汤治疗食管贲门癌术后反流性食管炎的临床研究</w:t>
            </w:r>
          </w:p>
        </w:tc>
        <w:tc>
          <w:tcPr>
            <w:tcW w:w="1447"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省中管局</w:t>
            </w:r>
          </w:p>
        </w:tc>
        <w:tc>
          <w:tcPr>
            <w:tcW w:w="2033"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YB2017036</w:t>
            </w:r>
          </w:p>
        </w:tc>
        <w:tc>
          <w:tcPr>
            <w:tcW w:w="1180" w:type="dxa"/>
            <w:vAlign w:val="center"/>
          </w:tcPr>
          <w:p>
            <w:pPr>
              <w:spacing w:line="240" w:lineRule="auto"/>
              <w:rPr>
                <w:rFonts w:hint="eastAsia"/>
                <w:sz w:val="24"/>
                <w:szCs w:val="24"/>
                <w:vertAlign w:val="baseline"/>
                <w:lang w:val="en-US" w:eastAsia="zh-CN"/>
              </w:rPr>
            </w:pPr>
            <w:r>
              <w:rPr>
                <w:rFonts w:hint="eastAsia"/>
                <w:sz w:val="24"/>
                <w:szCs w:val="24"/>
                <w:vertAlign w:val="baseline"/>
                <w:lang w:val="en-US" w:eastAsia="zh-CN"/>
              </w:rPr>
              <w:t>5万</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方正仿宋_GBK">
    <w:altName w:val="黑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swiss"/>
    <w:pitch w:val="default"/>
    <w:sig w:usb0="00000000" w:usb1="00000000" w:usb2="00000016" w:usb3="00000000" w:csb0="00040001" w:csb1="00000000"/>
  </w:font>
  <w:font w:name="方正黑体_GBK">
    <w:altName w:val="黑体"/>
    <w:panose1 w:val="03000509000000000000"/>
    <w:charset w:val="86"/>
    <w:family w:val="script"/>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黑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A0A3E"/>
    <w:rsid w:val="2DD42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2017-10-20T08:09:07Z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