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852FC1">
      <w:pPr>
        <w:spacing w:line="360" w:lineRule="auto"/>
        <w:ind w:firstLine="480" w:firstLineChars="200"/>
        <w:jc w:val="center"/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</w:rPr>
        <w:t>医院舆情管理</w:t>
      </w: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平台</w:t>
      </w:r>
      <w:bookmarkStart w:id="0" w:name="_GoBack"/>
      <w:bookmarkEnd w:id="0"/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项目调研内容</w:t>
      </w:r>
    </w:p>
    <w:p w14:paraId="65D5E1F6">
      <w:pPr>
        <w:numPr>
          <w:ilvl w:val="0"/>
          <w:numId w:val="1"/>
        </w:numPr>
        <w:spacing w:line="360" w:lineRule="auto"/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4"/>
          <w:szCs w:val="32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</w:rPr>
        <w:t>医院核心需求分析</w:t>
      </w:r>
    </w:p>
    <w:p w14:paraId="261D5A8F">
      <w:pPr>
        <w:numPr>
          <w:ilvl w:val="0"/>
          <w:numId w:val="2"/>
        </w:numPr>
        <w:spacing w:line="360" w:lineRule="auto"/>
        <w:ind w:left="425" w:leftChars="0" w:hanging="425" w:firstLineChars="0"/>
        <w:rPr>
          <w:rFonts w:hint="eastAsia" w:ascii="微软雅黑" w:hAnsi="微软雅黑" w:eastAsia="微软雅黑" w:cs="微软雅黑"/>
          <w:b/>
          <w:bCs/>
        </w:rPr>
      </w:pPr>
      <w:r>
        <w:rPr>
          <w:rFonts w:hint="eastAsia" w:ascii="微软雅黑" w:hAnsi="微软雅黑" w:eastAsia="微软雅黑" w:cs="微软雅黑"/>
          <w:b/>
          <w:bCs/>
        </w:rPr>
        <w:t>声誉管理与危机应对</w:t>
      </w:r>
    </w:p>
    <w:p w14:paraId="55B7E997">
      <w:pPr>
        <w:spacing w:line="360" w:lineRule="auto"/>
        <w:ind w:firstLine="420" w:firstLineChars="20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实时监测医疗事故、医患纠纷等负面舆情，缩短响应时间窗口（参考：网络舆情反应时间普遍需控制在24小时内）。</w:t>
      </w:r>
    </w:p>
    <w:p w14:paraId="3285EEE4">
      <w:pPr>
        <w:spacing w:line="360" w:lineRule="auto"/>
        <w:ind w:firstLine="420" w:firstLineChars="20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防范因信息滞后导致的谣言扩散，降低公信力受损风险。</w:t>
      </w:r>
    </w:p>
    <w:p w14:paraId="6B67823F">
      <w:pPr>
        <w:numPr>
          <w:ilvl w:val="0"/>
          <w:numId w:val="2"/>
        </w:numPr>
        <w:spacing w:line="360" w:lineRule="auto"/>
        <w:ind w:left="425" w:leftChars="0" w:hanging="425" w:firstLineChars="0"/>
        <w:rPr>
          <w:rFonts w:hint="eastAsia" w:ascii="微软雅黑" w:hAnsi="微软雅黑" w:eastAsia="微软雅黑" w:cs="微软雅黑"/>
          <w:b/>
          <w:bCs/>
        </w:rPr>
      </w:pPr>
      <w:r>
        <w:rPr>
          <w:rFonts w:hint="eastAsia" w:ascii="微软雅黑" w:hAnsi="微软雅黑" w:eastAsia="微软雅黑" w:cs="微软雅黑"/>
          <w:b/>
          <w:bCs/>
        </w:rPr>
        <w:t>服务质量提升</w:t>
      </w:r>
    </w:p>
    <w:p w14:paraId="080D0AF1">
      <w:pPr>
        <w:spacing w:line="360" w:lineRule="auto"/>
        <w:ind w:firstLine="420" w:firstLineChars="20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通过患者反馈分析（如就诊体验、医疗流程评价），优化服务流程与资源配置。</w:t>
      </w:r>
    </w:p>
    <w:p w14:paraId="1DACD12C">
      <w:pPr>
        <w:spacing w:line="360" w:lineRule="auto"/>
        <w:ind w:firstLine="420" w:firstLineChars="20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追踪药品安全、医疗政策等议题的公众认知变化。</w:t>
      </w:r>
    </w:p>
    <w:p w14:paraId="7B82F35F">
      <w:pPr>
        <w:numPr>
          <w:ilvl w:val="0"/>
          <w:numId w:val="2"/>
        </w:numPr>
        <w:spacing w:line="360" w:lineRule="auto"/>
        <w:ind w:left="425" w:leftChars="0" w:hanging="425" w:firstLineChars="0"/>
        <w:rPr>
          <w:rFonts w:hint="eastAsia" w:ascii="微软雅黑" w:hAnsi="微软雅黑" w:eastAsia="微软雅黑" w:cs="微软雅黑"/>
          <w:b/>
          <w:bCs/>
        </w:rPr>
      </w:pPr>
      <w:r>
        <w:rPr>
          <w:rFonts w:hint="eastAsia" w:ascii="微软雅黑" w:hAnsi="微软雅黑" w:eastAsia="微软雅黑" w:cs="微软雅黑"/>
          <w:b/>
          <w:bCs/>
        </w:rPr>
        <w:t>意识形态与合规管理</w:t>
      </w:r>
    </w:p>
    <w:p w14:paraId="3077A0C3">
      <w:pPr>
        <w:spacing w:line="360" w:lineRule="auto"/>
        <w:ind w:firstLine="420" w:firstLineChars="20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监测涉及医疗政策导向、社会稳定议题的敏感言论（如医保改革争议、医闹事件）。</w:t>
      </w:r>
    </w:p>
    <w:p w14:paraId="76CE4F65">
      <w:pPr>
        <w:spacing w:line="360" w:lineRule="auto"/>
        <w:ind w:firstLine="420" w:firstLineChars="20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确保医院宣传内容符合国家政策与社会主义核心价值观。</w:t>
      </w:r>
    </w:p>
    <w:p w14:paraId="0CF07244">
      <w:pPr>
        <w:numPr>
          <w:ilvl w:val="0"/>
          <w:numId w:val="1"/>
        </w:numPr>
        <w:spacing w:line="360" w:lineRule="auto"/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4"/>
          <w:szCs w:val="32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</w:rPr>
        <w:t>功能与服务适配方案</w:t>
      </w:r>
    </w:p>
    <w:p w14:paraId="36884E12">
      <w:pPr>
        <w:numPr>
          <w:ilvl w:val="0"/>
          <w:numId w:val="3"/>
        </w:numPr>
        <w:spacing w:line="360" w:lineRule="auto"/>
        <w:ind w:left="425" w:leftChars="0" w:hanging="425" w:firstLineChars="0"/>
        <w:rPr>
          <w:rFonts w:hint="eastAsia" w:ascii="微软雅黑" w:hAnsi="微软雅黑" w:eastAsia="微软雅黑" w:cs="微软雅黑"/>
          <w:b/>
          <w:bCs/>
        </w:rPr>
      </w:pPr>
      <w:r>
        <w:rPr>
          <w:rFonts w:hint="eastAsia" w:ascii="微软雅黑" w:hAnsi="微软雅黑" w:eastAsia="微软雅黑" w:cs="微软雅黑"/>
          <w:b/>
          <w:bCs/>
        </w:rPr>
        <w:t>监测功能模块</w:t>
      </w:r>
    </w:p>
    <w:p w14:paraId="5081C637">
      <w:pPr>
        <w:spacing w:line="360" w:lineRule="auto"/>
        <w:ind w:firstLine="420" w:firstLineChars="20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全媒体覆盖：抖音、微博、小红书等主流平台内容抓取，支持视频弹幕、评论区语义分析。</w:t>
      </w:r>
    </w:p>
    <w:p w14:paraId="16EFEAF1">
      <w:pPr>
        <w:spacing w:line="360" w:lineRule="auto"/>
        <w:ind w:firstLine="420" w:firstLineChars="20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定向监测：关键词组合（如医院名称、科室、医生姓名+负面情感词）、地域限定（本地化舆情聚焦）。</w:t>
      </w:r>
    </w:p>
    <w:p w14:paraId="52784595">
      <w:pPr>
        <w:numPr>
          <w:ilvl w:val="0"/>
          <w:numId w:val="3"/>
        </w:numPr>
        <w:spacing w:line="360" w:lineRule="auto"/>
        <w:ind w:left="425" w:leftChars="0" w:hanging="425" w:firstLineChars="0"/>
        <w:rPr>
          <w:rFonts w:hint="eastAsia" w:ascii="微软雅黑" w:hAnsi="微软雅黑" w:eastAsia="微软雅黑" w:cs="微软雅黑"/>
          <w:b/>
          <w:bCs/>
        </w:rPr>
      </w:pPr>
      <w:r>
        <w:rPr>
          <w:rFonts w:hint="eastAsia" w:ascii="微软雅黑" w:hAnsi="微软雅黑" w:eastAsia="微软雅黑" w:cs="微软雅黑"/>
          <w:b/>
          <w:bCs/>
        </w:rPr>
        <w:t>分析工具</w:t>
      </w:r>
    </w:p>
    <w:p w14:paraId="52586D8A">
      <w:pPr>
        <w:spacing w:line="360" w:lineRule="auto"/>
        <w:ind w:firstLine="420" w:firstLineChars="20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情感倾向判定：区分正面、中性、负面舆情比例，识别情绪爆发节点。</w:t>
      </w:r>
    </w:p>
    <w:p w14:paraId="3351383C">
      <w:pPr>
        <w:spacing w:line="360" w:lineRule="auto"/>
        <w:ind w:firstLine="420" w:firstLineChars="20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溯源与传播路径分析：追踪热点事件源头及扩散路径，量化传播影响力（如转发层级、KOL参与度）。</w:t>
      </w:r>
    </w:p>
    <w:p w14:paraId="01DFEB3C">
      <w:pPr>
        <w:numPr>
          <w:ilvl w:val="0"/>
          <w:numId w:val="3"/>
        </w:numPr>
        <w:spacing w:line="360" w:lineRule="auto"/>
        <w:ind w:left="425" w:leftChars="0" w:hanging="425" w:firstLineChars="0"/>
        <w:rPr>
          <w:rFonts w:hint="eastAsia" w:ascii="微软雅黑" w:hAnsi="微软雅黑" w:eastAsia="微软雅黑" w:cs="微软雅黑"/>
          <w:b/>
          <w:bCs/>
        </w:rPr>
      </w:pPr>
      <w:r>
        <w:rPr>
          <w:rFonts w:hint="eastAsia" w:ascii="微软雅黑" w:hAnsi="微软雅黑" w:eastAsia="微软雅黑" w:cs="微软雅黑"/>
          <w:b/>
          <w:bCs/>
        </w:rPr>
        <w:t>定制化服务</w:t>
      </w:r>
    </w:p>
    <w:p w14:paraId="0CAA1A85">
      <w:pPr>
        <w:spacing w:line="360" w:lineRule="auto"/>
        <w:ind w:firstLine="420" w:firstLineChars="20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预警机制：阈值设定（如负面声量超过5%触发预警），多渠道推送（邮件、短信、平台内通知）。</w:t>
      </w:r>
    </w:p>
    <w:p w14:paraId="11BAE1D7">
      <w:pPr>
        <w:spacing w:line="360" w:lineRule="auto"/>
        <w:ind w:firstLine="420" w:firstLineChars="20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报告生成：自动生成日报/周报，包含舆情概览、TOP话题榜单、应对建议（参考：医疗行业需突出危机公关建议）。</w:t>
      </w:r>
    </w:p>
    <w:p w14:paraId="7642227C">
      <w:pPr>
        <w:spacing w:line="360" w:lineRule="auto"/>
        <w:ind w:firstLine="420" w:firstLineChars="20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培训与演练：提供舆情应对策略培训及模拟危机场景演练。</w:t>
      </w:r>
    </w:p>
    <w:p w14:paraId="00E7E792">
      <w:pPr>
        <w:numPr>
          <w:ilvl w:val="0"/>
          <w:numId w:val="1"/>
        </w:numPr>
        <w:spacing w:line="360" w:lineRule="auto"/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4"/>
          <w:szCs w:val="32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</w:rPr>
        <w:t>意识形态舆情管理专项</w:t>
      </w:r>
    </w:p>
    <w:p w14:paraId="058BC610">
      <w:pPr>
        <w:numPr>
          <w:ilvl w:val="0"/>
          <w:numId w:val="4"/>
        </w:numPr>
        <w:spacing w:line="360" w:lineRule="auto"/>
        <w:ind w:left="425" w:leftChars="0" w:hanging="425" w:firstLineChars="0"/>
        <w:rPr>
          <w:rFonts w:hint="eastAsia" w:ascii="微软雅黑" w:hAnsi="微软雅黑" w:eastAsia="微软雅黑" w:cs="微软雅黑"/>
          <w:b/>
          <w:bCs/>
        </w:rPr>
      </w:pPr>
      <w:r>
        <w:rPr>
          <w:rFonts w:hint="eastAsia" w:ascii="微软雅黑" w:hAnsi="微软雅黑" w:eastAsia="微软雅黑" w:cs="微软雅黑"/>
          <w:b/>
          <w:bCs/>
        </w:rPr>
        <w:t>监测重点</w:t>
      </w:r>
    </w:p>
    <w:p w14:paraId="4D20C1F6">
      <w:pPr>
        <w:spacing w:line="360" w:lineRule="auto"/>
        <w:ind w:firstLine="420" w:firstLineChars="20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涉及医疗行业政策争议（如分级诊疗、医保支付改革）的公众讨论。</w:t>
      </w:r>
    </w:p>
    <w:p w14:paraId="2AB1B6EC">
      <w:pPr>
        <w:spacing w:line="360" w:lineRule="auto"/>
        <w:ind w:firstLine="420" w:firstLineChars="20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医患矛盾事件中的不当言论（如煽动性内容、不实指控）。</w:t>
      </w:r>
    </w:p>
    <w:p w14:paraId="4D0B55FC">
      <w:pPr>
        <w:numPr>
          <w:ilvl w:val="0"/>
          <w:numId w:val="4"/>
        </w:numPr>
        <w:spacing w:line="360" w:lineRule="auto"/>
        <w:ind w:left="425" w:leftChars="0" w:hanging="425" w:firstLineChars="0"/>
        <w:rPr>
          <w:rFonts w:hint="eastAsia" w:ascii="微软雅黑" w:hAnsi="微软雅黑" w:eastAsia="微软雅黑" w:cs="微软雅黑"/>
          <w:b/>
          <w:bCs/>
        </w:rPr>
      </w:pPr>
      <w:r>
        <w:rPr>
          <w:rFonts w:hint="eastAsia" w:ascii="微软雅黑" w:hAnsi="微软雅黑" w:eastAsia="微软雅黑" w:cs="微软雅黑"/>
          <w:b/>
          <w:bCs/>
        </w:rPr>
        <w:t>应对策略</w:t>
      </w:r>
    </w:p>
    <w:p w14:paraId="54EC2847">
      <w:pPr>
        <w:spacing w:line="360" w:lineRule="auto"/>
        <w:ind w:firstLine="420" w:firstLineChars="20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建立与网信部门的快速沟通机制，协同处置敏感信息。</w:t>
      </w:r>
    </w:p>
    <w:p w14:paraId="45BECA47">
      <w:pPr>
        <w:spacing w:line="360" w:lineRule="auto"/>
        <w:ind w:firstLine="420" w:firstLineChars="20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通过平台“正向引导”功能，主动发布权威解读（如政策科普、典型案例宣传）。</w:t>
      </w:r>
    </w:p>
    <w:p w14:paraId="7B456484">
      <w:pPr>
        <w:spacing w:line="360" w:lineRule="auto"/>
        <w:ind w:firstLine="420" w:firstLineChars="200"/>
        <w:rPr>
          <w:rFonts w:hint="eastAsia" w:ascii="微软雅黑" w:hAnsi="微软雅黑" w:eastAsia="微软雅黑" w:cs="微软雅黑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96D4F12"/>
    <w:multiLevelType w:val="singleLevel"/>
    <w:tmpl w:val="E96D4F12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EE3F4D09"/>
    <w:multiLevelType w:val="singleLevel"/>
    <w:tmpl w:val="EE3F4D09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">
    <w:nsid w:val="24C2BCEA"/>
    <w:multiLevelType w:val="singleLevel"/>
    <w:tmpl w:val="24C2BCEA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</w:abstractNum>
  <w:abstractNum w:abstractNumId="3">
    <w:nsid w:val="303EF711"/>
    <w:multiLevelType w:val="singleLevel"/>
    <w:tmpl w:val="303EF711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364A88"/>
    <w:rsid w:val="0D94696B"/>
    <w:rsid w:val="14C12A8A"/>
    <w:rsid w:val="1BC4548D"/>
    <w:rsid w:val="32047506"/>
    <w:rsid w:val="507C2418"/>
    <w:rsid w:val="547343AB"/>
    <w:rsid w:val="6A0575BB"/>
    <w:rsid w:val="6A364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681</Words>
  <Characters>687</Characters>
  <Lines>0</Lines>
  <Paragraphs>0</Paragraphs>
  <TotalTime>34</TotalTime>
  <ScaleCrop>false</ScaleCrop>
  <LinksUpToDate>false</LinksUpToDate>
  <CharactersWithSpaces>687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2025-03-21T03:12:00Z</dcterms:created>
  <dc:creator>Reeds.</dc:creator>
  <cp:lastModifiedBy>施吉利</cp:lastModifiedBy>
  <dcterms:modified xsi:type="dcterms:W3CDTF">2025-03-24T01:51:34Z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E368150955D442E5BA802710A9F0B3FF_13</vt:lpwstr>
  </property>
  <property fmtid="{D5CDD505-2E9C-101B-9397-08002B2CF9AE}" pid="4" name="KSOTemplateDocerSaveRecord">
    <vt:lpwstr>eyJoZGlkIjoiNzk0ZTk0MjFlZTQ0YWFhNmNhNjViMjQ0ZmE4NGIwOGMiLCJ1c2VySWQiOiIxNDU4NzEzMTYxIn0=</vt:lpwstr>
  </property>
</Properties>
</file>