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DA7B0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3AC35B39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433E3524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01743E08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280F2536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highlight w:val="none"/>
          <w:lang w:val="en-US" w:eastAsia="zh-CN"/>
        </w:rPr>
        <w:t>江苏省第二中医院</w:t>
      </w:r>
    </w:p>
    <w:p w14:paraId="3A88E385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医美数智化管理系统项目</w:t>
      </w:r>
    </w:p>
    <w:p w14:paraId="6FF3C781">
      <w:pPr>
        <w:pStyle w:val="2"/>
        <w:jc w:val="center"/>
        <w:rPr>
          <w:rFonts w:hint="eastAsia" w:ascii="黑体" w:hAnsi="黑体" w:eastAsia="黑体" w:cs="黑体"/>
          <w:i w:val="0"/>
          <w:kern w:val="2"/>
          <w:sz w:val="44"/>
          <w:szCs w:val="44"/>
          <w:lang w:val="en-US" w:eastAsia="zh-CN" w:bidi="ar-SA"/>
        </w:rPr>
      </w:pPr>
    </w:p>
    <w:p w14:paraId="35545D7C">
      <w:pPr>
        <w:pStyle w:val="2"/>
        <w:jc w:val="center"/>
        <w:rPr>
          <w:rFonts w:hint="eastAsia" w:ascii="黑体" w:hAnsi="黑体" w:eastAsia="黑体" w:cs="黑体"/>
          <w:i w:val="0"/>
          <w:kern w:val="2"/>
          <w:sz w:val="44"/>
          <w:szCs w:val="44"/>
          <w:lang w:val="en-US" w:eastAsia="zh-CN" w:bidi="ar-SA"/>
        </w:rPr>
      </w:pPr>
    </w:p>
    <w:p w14:paraId="595E3877">
      <w:pPr>
        <w:pStyle w:val="2"/>
        <w:jc w:val="center"/>
        <w:rPr>
          <w:rFonts w:hint="eastAsia" w:ascii="黑体" w:hAnsi="黑体" w:eastAsia="黑体" w:cs="黑体"/>
          <w:i w:val="0"/>
          <w:kern w:val="2"/>
          <w:sz w:val="44"/>
          <w:szCs w:val="44"/>
          <w:lang w:val="en-US" w:eastAsia="zh-CN" w:bidi="ar-SA"/>
        </w:rPr>
      </w:pPr>
    </w:p>
    <w:p w14:paraId="7C4A4BD9">
      <w:pPr>
        <w:pStyle w:val="2"/>
        <w:jc w:val="center"/>
        <w:rPr>
          <w:rFonts w:hint="eastAsia" w:ascii="黑体" w:hAnsi="黑体" w:eastAsia="黑体" w:cs="黑体"/>
          <w:i w:val="0"/>
          <w:kern w:val="2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i w:val="0"/>
          <w:kern w:val="2"/>
          <w:sz w:val="44"/>
          <w:szCs w:val="44"/>
          <w:lang w:val="en-US" w:eastAsia="zh-CN" w:bidi="ar-SA"/>
        </w:rPr>
        <w:t>项目要求</w:t>
      </w:r>
    </w:p>
    <w:p w14:paraId="5B6BA4D5">
      <w:pPr>
        <w:rPr>
          <w:rFonts w:hint="eastAsia" w:eastAsia="宋体"/>
          <w:color w:val="auto"/>
          <w:lang w:val="en-US" w:eastAsia="zh-CN"/>
        </w:rPr>
      </w:pPr>
      <w:r>
        <w:rPr>
          <w:rFonts w:hint="eastAsia"/>
          <w:color w:val="auto"/>
        </w:rPr>
        <w:br w:type="page"/>
      </w:r>
    </w:p>
    <w:p w14:paraId="3DC2EBE5">
      <w:pPr>
        <w:pStyle w:val="3"/>
        <w:rPr>
          <w:color w:val="auto"/>
        </w:rPr>
      </w:pPr>
      <w:r>
        <w:rPr>
          <w:rFonts w:hint="eastAsia"/>
          <w:color w:val="auto"/>
        </w:rPr>
        <w:t>建设目标</w:t>
      </w:r>
    </w:p>
    <w:p w14:paraId="5B551896">
      <w:pPr>
        <w:pStyle w:val="10"/>
        <w:spacing w:before="120" w:after="120"/>
        <w:ind w:firstLine="480"/>
        <w:rPr>
          <w:color w:val="auto"/>
        </w:rPr>
      </w:pPr>
      <w:r>
        <w:rPr>
          <w:rFonts w:hint="eastAsia" w:ascii="宋体" w:hAnsi="宋体"/>
          <w:highlight w:val="none"/>
        </w:rPr>
        <w:t>根据《国务院办公厅关于促进和规范健康医疗大数据应用发展的指导意见》，以及国家卫生和计划生育委员会 《医院信息平台应用功能指引》的指示，结合国家《健康中国 2030规划纲要》的战略规划要求，未来医院信息化应向精细化、细致化、规范化、分级诊疗方向发展，为满足我院</w:t>
      </w:r>
      <w:r>
        <w:rPr>
          <w:rFonts w:hint="eastAsia" w:ascii="宋体" w:hAnsi="宋体"/>
          <w:highlight w:val="none"/>
          <w:lang w:val="en-US" w:eastAsia="zh-CN"/>
        </w:rPr>
        <w:t>整形美容科</w:t>
      </w:r>
      <w:r>
        <w:rPr>
          <w:rFonts w:hint="eastAsia" w:ascii="宋体" w:hAnsi="宋体"/>
          <w:highlight w:val="none"/>
        </w:rPr>
        <w:t>建设要求</w:t>
      </w:r>
      <w:r>
        <w:rPr>
          <w:rFonts w:hint="eastAsia" w:ascii="宋体" w:hAnsi="宋体"/>
          <w:highlight w:val="none"/>
          <w:lang w:eastAsia="zh-CN"/>
        </w:rPr>
        <w:t>，</w:t>
      </w:r>
      <w:r>
        <w:rPr>
          <w:rFonts w:hint="eastAsia" w:ascii="宋体" w:hAnsi="宋体"/>
          <w:highlight w:val="none"/>
          <w:lang w:val="en-US" w:eastAsia="zh-CN"/>
        </w:rPr>
        <w:t>提升科室精细化管理的能力、提升患者服务水平、提升科室管理效率，</w:t>
      </w:r>
      <w:r>
        <w:rPr>
          <w:rFonts w:hint="eastAsia" w:ascii="宋体" w:hAnsi="宋体"/>
          <w:highlight w:val="none"/>
        </w:rPr>
        <w:t>现面向社会公开招标“</w:t>
      </w:r>
      <w:r>
        <w:rPr>
          <w:rFonts w:hint="eastAsia" w:ascii="宋体" w:hAnsi="宋体" w:cs="仿宋"/>
          <w:color w:val="000000"/>
          <w:kern w:val="0"/>
          <w:sz w:val="24"/>
          <w:szCs w:val="24"/>
          <w:lang w:val="en-US" w:eastAsia="zh-CN" w:bidi="en-US"/>
        </w:rPr>
        <w:t>医美数智化管理系统</w:t>
      </w:r>
      <w:r>
        <w:rPr>
          <w:rFonts w:hint="eastAsia" w:ascii="宋体" w:hAnsi="宋体"/>
          <w:highlight w:val="none"/>
        </w:rPr>
        <w:t>”，以满足学科发展建设要求，</w:t>
      </w:r>
    </w:p>
    <w:p w14:paraId="7E8D3EA9">
      <w:pPr>
        <w:pStyle w:val="3"/>
        <w:rPr>
          <w:color w:val="auto"/>
        </w:rPr>
      </w:pPr>
      <w:r>
        <w:rPr>
          <w:rFonts w:hint="eastAsia"/>
          <w:color w:val="auto"/>
        </w:rPr>
        <w:t>建设内容</w:t>
      </w:r>
    </w:p>
    <w:tbl>
      <w:tblPr>
        <w:tblStyle w:val="7"/>
        <w:tblW w:w="70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3467"/>
        <w:gridCol w:w="1511"/>
        <w:gridCol w:w="1113"/>
      </w:tblGrid>
      <w:tr w14:paraId="71344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88" w:type="dxa"/>
            <w:tcBorders>
              <w:bottom w:val="single" w:color="auto" w:sz="4" w:space="0"/>
            </w:tcBorders>
            <w:vAlign w:val="center"/>
          </w:tcPr>
          <w:p w14:paraId="589056F9">
            <w:pPr>
              <w:widowControl/>
              <w:spacing w:line="360" w:lineRule="auto"/>
              <w:jc w:val="center"/>
              <w:rPr>
                <w:rFonts w:ascii="宋体" w:hAnsi="宋体" w:eastAsia="宋体" w:cs="仿宋"/>
                <w:b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eastAsia="宋体" w:cs="仿宋"/>
                <w:b/>
                <w:color w:val="000000"/>
                <w:kern w:val="0"/>
                <w:sz w:val="24"/>
                <w:szCs w:val="24"/>
                <w:lang w:eastAsia="en-US" w:bidi="en-US"/>
              </w:rPr>
              <w:t>序号</w:t>
            </w:r>
          </w:p>
        </w:tc>
        <w:tc>
          <w:tcPr>
            <w:tcW w:w="3467" w:type="dxa"/>
            <w:tcBorders>
              <w:bottom w:val="single" w:color="auto" w:sz="4" w:space="0"/>
            </w:tcBorders>
            <w:vAlign w:val="center"/>
          </w:tcPr>
          <w:p w14:paraId="50BDB157">
            <w:pPr>
              <w:widowControl/>
              <w:spacing w:line="360" w:lineRule="auto"/>
              <w:jc w:val="center"/>
              <w:rPr>
                <w:rFonts w:ascii="宋体" w:hAnsi="宋体" w:eastAsia="宋体" w:cs="仿宋"/>
                <w:b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eastAsia="宋体" w:cs="仿宋"/>
                <w:b/>
                <w:color w:val="000000"/>
                <w:kern w:val="0"/>
                <w:sz w:val="24"/>
                <w:szCs w:val="24"/>
                <w:lang w:eastAsia="en-US" w:bidi="en-US"/>
              </w:rPr>
              <w:t>产品名称</w:t>
            </w:r>
          </w:p>
        </w:tc>
        <w:tc>
          <w:tcPr>
            <w:tcW w:w="1511" w:type="dxa"/>
            <w:tcBorders>
              <w:bottom w:val="single" w:color="auto" w:sz="4" w:space="0"/>
            </w:tcBorders>
            <w:vAlign w:val="center"/>
          </w:tcPr>
          <w:p w14:paraId="0667973F">
            <w:pPr>
              <w:widowControl/>
              <w:spacing w:line="360" w:lineRule="auto"/>
              <w:jc w:val="center"/>
              <w:rPr>
                <w:rFonts w:ascii="宋体" w:hAnsi="宋体" w:eastAsia="宋体" w:cs="仿宋"/>
                <w:b/>
                <w:color w:val="000000"/>
                <w:kern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eastAsia="宋体" w:cs="仿宋"/>
                <w:b/>
                <w:color w:val="000000"/>
                <w:kern w:val="0"/>
                <w:sz w:val="24"/>
                <w:szCs w:val="24"/>
                <w:lang w:eastAsia="en-US" w:bidi="en-US"/>
              </w:rPr>
              <w:t>产品形态</w:t>
            </w:r>
          </w:p>
        </w:tc>
        <w:tc>
          <w:tcPr>
            <w:tcW w:w="1113" w:type="dxa"/>
            <w:tcBorders>
              <w:bottom w:val="single" w:color="auto" w:sz="4" w:space="0"/>
            </w:tcBorders>
            <w:vAlign w:val="center"/>
          </w:tcPr>
          <w:p w14:paraId="4AAA370E">
            <w:pPr>
              <w:widowControl/>
              <w:spacing w:line="360" w:lineRule="auto"/>
              <w:jc w:val="center"/>
              <w:rPr>
                <w:rFonts w:ascii="宋体" w:hAnsi="宋体" w:eastAsia="宋体" w:cs="仿宋"/>
                <w:b/>
                <w:color w:val="000000"/>
                <w:kern w:val="0"/>
                <w:sz w:val="24"/>
                <w:szCs w:val="24"/>
                <w:lang w:bidi="en-US"/>
              </w:rPr>
            </w:pPr>
            <w:r>
              <w:rPr>
                <w:rFonts w:hint="eastAsia" w:ascii="宋体" w:hAnsi="宋体" w:eastAsia="宋体" w:cs="仿宋"/>
                <w:b/>
                <w:color w:val="000000"/>
                <w:kern w:val="0"/>
                <w:sz w:val="24"/>
                <w:szCs w:val="24"/>
                <w:lang w:bidi="en-US"/>
              </w:rPr>
              <w:t>数量</w:t>
            </w:r>
          </w:p>
        </w:tc>
      </w:tr>
      <w:tr w14:paraId="5A68F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988" w:type="dxa"/>
            <w:vAlign w:val="center"/>
          </w:tcPr>
          <w:p w14:paraId="2BBFE2C8">
            <w:pPr>
              <w:widowControl/>
              <w:spacing w:line="360" w:lineRule="auto"/>
              <w:jc w:val="center"/>
              <w:rPr>
                <w:rFonts w:ascii="宋体" w:hAnsi="宋体" w:eastAsia="宋体" w:cs="仿宋"/>
                <w:color w:val="000000"/>
                <w:kern w:val="0"/>
                <w:sz w:val="24"/>
                <w:szCs w:val="24"/>
                <w:lang w:bidi="en-US"/>
              </w:rPr>
            </w:pPr>
            <w:r>
              <w:rPr>
                <w:rFonts w:ascii="宋体" w:hAnsi="宋体" w:eastAsia="宋体" w:cs="仿宋"/>
                <w:color w:val="000000"/>
                <w:kern w:val="0"/>
                <w:sz w:val="24"/>
                <w:szCs w:val="24"/>
                <w:lang w:bidi="en-US"/>
              </w:rPr>
              <w:t>1</w:t>
            </w:r>
          </w:p>
        </w:tc>
        <w:tc>
          <w:tcPr>
            <w:tcW w:w="3467" w:type="dxa"/>
            <w:vAlign w:val="center"/>
          </w:tcPr>
          <w:p w14:paraId="19DF8338">
            <w:pPr>
              <w:widowControl/>
              <w:spacing w:line="360" w:lineRule="auto"/>
              <w:jc w:val="center"/>
              <w:rPr>
                <w:rFonts w:hint="default" w:ascii="宋体" w:hAnsi="宋体" w:eastAsia="宋体" w:cs="仿宋"/>
                <w:color w:val="000000"/>
                <w:kern w:val="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宋体" w:hAnsi="宋体" w:cs="仿宋"/>
                <w:color w:val="000000"/>
                <w:kern w:val="0"/>
                <w:sz w:val="24"/>
                <w:szCs w:val="24"/>
                <w:lang w:val="en-US" w:eastAsia="zh-CN" w:bidi="en-US"/>
              </w:rPr>
              <w:t>医美数智化管理系统</w:t>
            </w:r>
          </w:p>
        </w:tc>
        <w:tc>
          <w:tcPr>
            <w:tcW w:w="1511" w:type="dxa"/>
            <w:vAlign w:val="center"/>
          </w:tcPr>
          <w:p w14:paraId="59491068">
            <w:pPr>
              <w:widowControl/>
              <w:spacing w:line="360" w:lineRule="auto"/>
              <w:jc w:val="center"/>
              <w:rPr>
                <w:rFonts w:hint="eastAsia" w:ascii="宋体" w:hAnsi="宋体" w:eastAsia="宋体" w:cs="仿宋"/>
                <w:color w:val="000000"/>
                <w:kern w:val="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宋体" w:hAnsi="宋体" w:cs="仿宋"/>
                <w:color w:val="000000"/>
                <w:kern w:val="0"/>
                <w:sz w:val="24"/>
                <w:szCs w:val="24"/>
                <w:lang w:val="en-US" w:eastAsia="zh-CN" w:bidi="en-US"/>
              </w:rPr>
              <w:t>软件</w:t>
            </w:r>
          </w:p>
        </w:tc>
        <w:tc>
          <w:tcPr>
            <w:tcW w:w="1113" w:type="dxa"/>
            <w:vAlign w:val="center"/>
          </w:tcPr>
          <w:p w14:paraId="5580351A">
            <w:pPr>
              <w:widowControl/>
              <w:spacing w:line="360" w:lineRule="auto"/>
              <w:jc w:val="center"/>
              <w:rPr>
                <w:rFonts w:hint="default" w:ascii="宋体" w:hAnsi="宋体" w:eastAsia="宋体" w:cs="仿宋"/>
                <w:color w:val="000000"/>
                <w:kern w:val="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宋体" w:hAnsi="宋体" w:cs="仿宋"/>
                <w:color w:val="000000"/>
                <w:kern w:val="0"/>
                <w:sz w:val="24"/>
                <w:szCs w:val="24"/>
                <w:lang w:val="en-US" w:eastAsia="zh-CN" w:bidi="en-US"/>
              </w:rPr>
              <w:t>1</w:t>
            </w:r>
          </w:p>
        </w:tc>
      </w:tr>
      <w:tr w14:paraId="31EA5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988" w:type="dxa"/>
            <w:vAlign w:val="center"/>
          </w:tcPr>
          <w:p w14:paraId="05FC3BF6">
            <w:pPr>
              <w:widowControl/>
              <w:spacing w:line="360" w:lineRule="auto"/>
              <w:jc w:val="center"/>
              <w:rPr>
                <w:rFonts w:hint="eastAsia" w:ascii="宋体" w:hAnsi="宋体" w:eastAsia="宋体" w:cs="仿宋"/>
                <w:color w:val="000000"/>
                <w:kern w:val="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宋体" w:hAnsi="宋体" w:cs="仿宋"/>
                <w:color w:val="000000"/>
                <w:kern w:val="0"/>
                <w:sz w:val="24"/>
                <w:szCs w:val="24"/>
                <w:lang w:val="en-US" w:eastAsia="zh-CN" w:bidi="en-US"/>
              </w:rPr>
              <w:t>2</w:t>
            </w:r>
          </w:p>
        </w:tc>
        <w:tc>
          <w:tcPr>
            <w:tcW w:w="3467" w:type="dxa"/>
            <w:vAlign w:val="center"/>
          </w:tcPr>
          <w:p w14:paraId="2D0D4ED1">
            <w:pPr>
              <w:widowControl/>
              <w:spacing w:line="360" w:lineRule="auto"/>
              <w:jc w:val="center"/>
              <w:rPr>
                <w:rFonts w:hint="eastAsia" w:ascii="宋体" w:hAnsi="宋体" w:eastAsia="宋体" w:cs="仿宋"/>
                <w:color w:val="000000"/>
                <w:kern w:val="0"/>
                <w:sz w:val="24"/>
                <w:szCs w:val="24"/>
                <w:lang w:eastAsia="zh-CN" w:bidi="en-US"/>
              </w:rPr>
            </w:pPr>
          </w:p>
        </w:tc>
        <w:tc>
          <w:tcPr>
            <w:tcW w:w="1511" w:type="dxa"/>
            <w:vAlign w:val="center"/>
          </w:tcPr>
          <w:p w14:paraId="5FB72A0F">
            <w:pPr>
              <w:widowControl/>
              <w:spacing w:line="360" w:lineRule="auto"/>
              <w:jc w:val="center"/>
              <w:rPr>
                <w:rFonts w:hint="eastAsia" w:ascii="宋体" w:hAnsi="宋体" w:eastAsia="宋体" w:cs="仿宋"/>
                <w:color w:val="000000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113" w:type="dxa"/>
            <w:vAlign w:val="center"/>
          </w:tcPr>
          <w:p w14:paraId="7B11F75E">
            <w:pPr>
              <w:widowControl/>
              <w:spacing w:line="360" w:lineRule="auto"/>
              <w:jc w:val="center"/>
              <w:rPr>
                <w:rFonts w:hint="default" w:ascii="宋体" w:hAnsi="宋体" w:cs="仿宋"/>
                <w:color w:val="000000"/>
                <w:kern w:val="0"/>
                <w:sz w:val="24"/>
                <w:szCs w:val="24"/>
                <w:lang w:val="en-US" w:eastAsia="zh-CN" w:bidi="en-US"/>
              </w:rPr>
            </w:pPr>
          </w:p>
        </w:tc>
      </w:tr>
      <w:tr w14:paraId="273F7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988" w:type="dxa"/>
            <w:vAlign w:val="center"/>
          </w:tcPr>
          <w:p w14:paraId="4403EE23">
            <w:pPr>
              <w:widowControl/>
              <w:spacing w:line="360" w:lineRule="auto"/>
              <w:jc w:val="center"/>
              <w:rPr>
                <w:rFonts w:hint="eastAsia" w:ascii="宋体" w:hAnsi="宋体" w:eastAsia="宋体" w:cs="仿宋"/>
                <w:color w:val="000000"/>
                <w:kern w:val="0"/>
                <w:sz w:val="24"/>
                <w:szCs w:val="24"/>
                <w:lang w:eastAsia="zh-CN" w:bidi="en-US"/>
              </w:rPr>
            </w:pPr>
            <w:r>
              <w:rPr>
                <w:rFonts w:hint="eastAsia" w:ascii="宋体" w:hAnsi="宋体" w:cs="仿宋"/>
                <w:color w:val="000000"/>
                <w:kern w:val="0"/>
                <w:sz w:val="24"/>
                <w:szCs w:val="24"/>
                <w:lang w:val="en-US" w:eastAsia="zh-CN" w:bidi="en-US"/>
              </w:rPr>
              <w:t>3</w:t>
            </w:r>
          </w:p>
        </w:tc>
        <w:tc>
          <w:tcPr>
            <w:tcW w:w="3467" w:type="dxa"/>
            <w:vAlign w:val="center"/>
          </w:tcPr>
          <w:p w14:paraId="3F3F7E44">
            <w:pPr>
              <w:widowControl/>
              <w:spacing w:line="360" w:lineRule="auto"/>
              <w:jc w:val="center"/>
              <w:rPr>
                <w:rFonts w:ascii="宋体" w:hAnsi="宋体" w:eastAsia="宋体" w:cs="仿宋"/>
                <w:color w:val="000000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511" w:type="dxa"/>
          </w:tcPr>
          <w:p w14:paraId="1586669C">
            <w:pPr>
              <w:widowControl/>
              <w:spacing w:line="360" w:lineRule="auto"/>
              <w:jc w:val="center"/>
              <w:rPr>
                <w:rFonts w:hint="eastAsia" w:ascii="宋体" w:hAnsi="宋体" w:eastAsia="宋体" w:cs="仿宋"/>
                <w:color w:val="000000"/>
                <w:kern w:val="0"/>
                <w:sz w:val="24"/>
                <w:szCs w:val="24"/>
                <w:lang w:eastAsia="zh-CN" w:bidi="en-US"/>
              </w:rPr>
            </w:pPr>
          </w:p>
        </w:tc>
        <w:tc>
          <w:tcPr>
            <w:tcW w:w="1113" w:type="dxa"/>
            <w:vAlign w:val="center"/>
          </w:tcPr>
          <w:p w14:paraId="7B8757F6">
            <w:pPr>
              <w:widowControl/>
              <w:spacing w:line="360" w:lineRule="auto"/>
              <w:jc w:val="center"/>
              <w:rPr>
                <w:rFonts w:hint="eastAsia" w:ascii="宋体" w:hAnsi="宋体" w:eastAsia="宋体" w:cs="仿宋"/>
                <w:color w:val="000000"/>
                <w:kern w:val="0"/>
                <w:sz w:val="24"/>
                <w:szCs w:val="24"/>
                <w:lang w:eastAsia="zh-CN" w:bidi="en-US"/>
              </w:rPr>
            </w:pPr>
          </w:p>
        </w:tc>
      </w:tr>
      <w:tr w14:paraId="0BEAA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988" w:type="dxa"/>
            <w:vAlign w:val="center"/>
          </w:tcPr>
          <w:p w14:paraId="083505A9">
            <w:pPr>
              <w:widowControl/>
              <w:spacing w:line="360" w:lineRule="auto"/>
              <w:jc w:val="center"/>
              <w:rPr>
                <w:rFonts w:hint="eastAsia" w:ascii="宋体" w:hAnsi="宋体" w:eastAsia="宋体" w:cs="仿宋"/>
                <w:color w:val="000000"/>
                <w:kern w:val="0"/>
                <w:sz w:val="24"/>
                <w:szCs w:val="24"/>
                <w:lang w:eastAsia="zh-CN" w:bidi="en-US"/>
              </w:rPr>
            </w:pPr>
            <w:r>
              <w:rPr>
                <w:rFonts w:hint="eastAsia" w:ascii="宋体" w:hAnsi="宋体" w:cs="仿宋"/>
                <w:color w:val="000000"/>
                <w:kern w:val="0"/>
                <w:sz w:val="24"/>
                <w:szCs w:val="24"/>
                <w:lang w:val="en-US" w:eastAsia="zh-CN" w:bidi="en-US"/>
              </w:rPr>
              <w:t>5</w:t>
            </w:r>
          </w:p>
        </w:tc>
        <w:tc>
          <w:tcPr>
            <w:tcW w:w="3467" w:type="dxa"/>
            <w:vAlign w:val="center"/>
          </w:tcPr>
          <w:p w14:paraId="3722EBAE">
            <w:pPr>
              <w:widowControl/>
              <w:spacing w:line="360" w:lineRule="auto"/>
              <w:jc w:val="center"/>
              <w:rPr>
                <w:rFonts w:hint="eastAsia" w:ascii="宋体" w:hAnsi="宋体" w:eastAsia="宋体" w:cs="仿宋"/>
                <w:color w:val="000000"/>
                <w:kern w:val="0"/>
                <w:sz w:val="24"/>
                <w:szCs w:val="24"/>
                <w:lang w:eastAsia="zh-CN" w:bidi="en-US"/>
              </w:rPr>
            </w:pPr>
          </w:p>
        </w:tc>
        <w:tc>
          <w:tcPr>
            <w:tcW w:w="1511" w:type="dxa"/>
          </w:tcPr>
          <w:p w14:paraId="212195D8">
            <w:pPr>
              <w:widowControl/>
              <w:spacing w:line="360" w:lineRule="auto"/>
              <w:jc w:val="center"/>
              <w:rPr>
                <w:rFonts w:ascii="宋体" w:hAnsi="宋体" w:eastAsia="宋体" w:cs="仿宋"/>
                <w:color w:val="000000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113" w:type="dxa"/>
            <w:vAlign w:val="center"/>
          </w:tcPr>
          <w:p w14:paraId="2EC03340">
            <w:pPr>
              <w:widowControl/>
              <w:spacing w:line="360" w:lineRule="auto"/>
              <w:jc w:val="center"/>
              <w:rPr>
                <w:rFonts w:hint="eastAsia" w:ascii="宋体" w:hAnsi="宋体" w:eastAsia="宋体" w:cs="仿宋"/>
                <w:color w:val="FF0000"/>
                <w:kern w:val="0"/>
                <w:sz w:val="24"/>
                <w:szCs w:val="24"/>
                <w:lang w:eastAsia="zh-CN" w:bidi="en-US"/>
              </w:rPr>
            </w:pPr>
          </w:p>
        </w:tc>
      </w:tr>
      <w:tr w14:paraId="5D451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988" w:type="dxa"/>
            <w:vAlign w:val="center"/>
          </w:tcPr>
          <w:p w14:paraId="11D5F34C">
            <w:pPr>
              <w:widowControl/>
              <w:spacing w:line="360" w:lineRule="auto"/>
              <w:jc w:val="center"/>
              <w:rPr>
                <w:rFonts w:hint="eastAsia" w:ascii="宋体" w:hAnsi="宋体" w:eastAsia="宋体" w:cs="仿宋"/>
                <w:color w:val="000000"/>
                <w:kern w:val="0"/>
                <w:sz w:val="24"/>
                <w:szCs w:val="24"/>
                <w:lang w:eastAsia="zh-CN" w:bidi="en-US"/>
              </w:rPr>
            </w:pPr>
            <w:r>
              <w:rPr>
                <w:rFonts w:hint="eastAsia" w:ascii="宋体" w:hAnsi="宋体" w:cs="仿宋"/>
                <w:color w:val="000000"/>
                <w:kern w:val="0"/>
                <w:sz w:val="24"/>
                <w:szCs w:val="24"/>
                <w:lang w:val="en-US" w:eastAsia="zh-CN" w:bidi="en-US"/>
              </w:rPr>
              <w:t>6</w:t>
            </w:r>
          </w:p>
        </w:tc>
        <w:tc>
          <w:tcPr>
            <w:tcW w:w="3467" w:type="dxa"/>
            <w:vAlign w:val="center"/>
          </w:tcPr>
          <w:p w14:paraId="78D9E5A4">
            <w:pPr>
              <w:widowControl/>
              <w:spacing w:line="360" w:lineRule="auto"/>
              <w:jc w:val="center"/>
              <w:rPr>
                <w:rFonts w:ascii="宋体" w:hAnsi="宋体" w:eastAsia="宋体" w:cs="仿宋"/>
                <w:color w:val="000000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511" w:type="dxa"/>
          </w:tcPr>
          <w:p w14:paraId="350EFE48">
            <w:pPr>
              <w:widowControl/>
              <w:spacing w:line="360" w:lineRule="auto"/>
              <w:jc w:val="center"/>
              <w:rPr>
                <w:rFonts w:ascii="宋体" w:hAnsi="宋体" w:eastAsia="宋体" w:cs="仿宋"/>
                <w:color w:val="000000"/>
                <w:kern w:val="0"/>
                <w:sz w:val="24"/>
                <w:szCs w:val="24"/>
                <w:lang w:bidi="en-US"/>
              </w:rPr>
            </w:pPr>
          </w:p>
        </w:tc>
        <w:tc>
          <w:tcPr>
            <w:tcW w:w="1113" w:type="dxa"/>
            <w:vAlign w:val="center"/>
          </w:tcPr>
          <w:p w14:paraId="6F15B128">
            <w:pPr>
              <w:widowControl/>
              <w:spacing w:line="360" w:lineRule="auto"/>
              <w:jc w:val="center"/>
              <w:rPr>
                <w:rFonts w:ascii="宋体" w:hAnsi="宋体" w:eastAsia="宋体" w:cs="仿宋"/>
                <w:color w:val="000000"/>
                <w:kern w:val="0"/>
                <w:sz w:val="24"/>
                <w:szCs w:val="24"/>
                <w:lang w:bidi="en-US"/>
              </w:rPr>
            </w:pPr>
          </w:p>
        </w:tc>
      </w:tr>
    </w:tbl>
    <w:p w14:paraId="5AACF16A">
      <w:pPr>
        <w:pStyle w:val="4"/>
        <w:ind w:firstLine="480"/>
        <w:rPr>
          <w:color w:val="auto"/>
        </w:rPr>
      </w:pPr>
    </w:p>
    <w:p w14:paraId="0874A254">
      <w:pPr>
        <w:rPr>
          <w:color w:val="auto"/>
        </w:rPr>
      </w:pPr>
      <w:r>
        <w:rPr>
          <w:rFonts w:hint="eastAsia"/>
          <w:color w:val="auto"/>
          <w:lang w:eastAsia="zh-CN"/>
        </w:rPr>
        <w:br w:type="page"/>
      </w:r>
    </w:p>
    <w:p w14:paraId="62521210">
      <w:pPr>
        <w:pStyle w:val="3"/>
        <w:rPr>
          <w:color w:val="auto"/>
        </w:rPr>
      </w:pPr>
      <w:r>
        <w:rPr>
          <w:rFonts w:hint="eastAsia"/>
          <w:color w:val="auto"/>
          <w:lang w:val="en-US" w:eastAsia="zh-CN"/>
        </w:rPr>
        <w:t>项目需求</w:t>
      </w:r>
    </w:p>
    <w:p w14:paraId="353AB8F8">
      <w:pPr>
        <w:pStyle w:val="5"/>
      </w:pPr>
      <w:r>
        <w:rPr>
          <w:rFonts w:hint="eastAsia"/>
          <w:lang w:eastAsia="zh-CN"/>
        </w:rPr>
        <w:t>系统功能要求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6745"/>
      </w:tblGrid>
      <w:tr w14:paraId="385F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vAlign w:val="center"/>
          </w:tcPr>
          <w:p w14:paraId="15CE0919">
            <w:pPr>
              <w:widowControl w:val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cs="仿宋"/>
                <w:color w:val="000000"/>
                <w:kern w:val="0"/>
                <w:sz w:val="24"/>
                <w:szCs w:val="24"/>
                <w:lang w:val="en-US" w:eastAsia="zh-CN" w:bidi="en-US"/>
              </w:rPr>
              <w:t>医美数智化管理系统</w:t>
            </w:r>
          </w:p>
        </w:tc>
      </w:tr>
      <w:tr w14:paraId="5A6E5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4" w:hRule="atLeast"/>
        </w:trPr>
        <w:tc>
          <w:tcPr>
            <w:tcW w:w="1777" w:type="dxa"/>
            <w:vAlign w:val="center"/>
          </w:tcPr>
          <w:p w14:paraId="22939DCB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1、科室微站</w:t>
            </w:r>
          </w:p>
        </w:tc>
        <w:tc>
          <w:tcPr>
            <w:tcW w:w="6745" w:type="dxa"/>
            <w:vAlign w:val="center"/>
          </w:tcPr>
          <w:p w14:paraId="291E3012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1.1 支持对科室、医生、设备、项目、案例进行丰富的图文展示</w:t>
            </w:r>
          </w:p>
          <w:p w14:paraId="491B0526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1.2 支持医护发布科普宣教内容，推送给求美者</w:t>
            </w:r>
          </w:p>
          <w:p w14:paraId="048FC4C1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1.3 为每个医生建立医生个人主页，进行全方位展示</w:t>
            </w:r>
          </w:p>
          <w:p w14:paraId="551A29C6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1.4 支持发布科室活动</w:t>
            </w:r>
          </w:p>
        </w:tc>
      </w:tr>
      <w:tr w14:paraId="1BF4B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1" w:hRule="atLeast"/>
        </w:trPr>
        <w:tc>
          <w:tcPr>
            <w:tcW w:w="1777" w:type="dxa"/>
            <w:vAlign w:val="center"/>
          </w:tcPr>
          <w:p w14:paraId="48C3B358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2、电子档案</w:t>
            </w:r>
          </w:p>
        </w:tc>
        <w:tc>
          <w:tcPr>
            <w:tcW w:w="6745" w:type="dxa"/>
            <w:vAlign w:val="center"/>
          </w:tcPr>
          <w:p w14:paraId="4B50553F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2.1 支持求美者的个人档案实现电子化，包括基本信息、线索信息</w:t>
            </w:r>
          </w:p>
          <w:p w14:paraId="1296CD17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2.2 支持求美者的账户资产快速管理，包括项目、套餐、积分</w:t>
            </w:r>
          </w:p>
          <w:p w14:paraId="3BF96B6C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2.3 支持求美者标签的人工输入，并能根据特征和行为自动标记</w:t>
            </w:r>
          </w:p>
          <w:p w14:paraId="1E10D952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2.4 支持求美者治疗档案标准化管理，支持按照时间、诊断、模板快速搜索和定位治疗档案</w:t>
            </w:r>
          </w:p>
          <w:p w14:paraId="45BF4D8E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2.5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支持治疗参数模板的个性定制，包括参数名称、分类和录入形式，以适应不同的治疗项目需求。可支持三级参数的录入，每一级下面可以自定义多个下级，下级的形式包含单选、多选、输入框（支持设置默认值）、文本框、拖动条等多种信息录入控件。</w:t>
            </w:r>
          </w:p>
          <w:p w14:paraId="7DD0FE9A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2.6 实现多端（手机、pad、pc）多端互通</w:t>
            </w:r>
          </w:p>
        </w:tc>
      </w:tr>
      <w:tr w14:paraId="0D43B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7" w:hRule="atLeast"/>
        </w:trPr>
        <w:tc>
          <w:tcPr>
            <w:tcW w:w="1777" w:type="dxa"/>
            <w:vAlign w:val="center"/>
          </w:tcPr>
          <w:p w14:paraId="4CBFDB21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3、科室服务</w:t>
            </w:r>
          </w:p>
        </w:tc>
        <w:tc>
          <w:tcPr>
            <w:tcW w:w="6745" w:type="dxa"/>
            <w:vAlign w:val="center"/>
          </w:tcPr>
          <w:p w14:paraId="2AB9341E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3.1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支持求美者扫码快速建档，简化医护工作量</w:t>
            </w:r>
          </w:p>
          <w:p w14:paraId="73BB7039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3.2 支持为求求美者进行治疗快速登记，支持常用项目的快捷登记</w:t>
            </w:r>
          </w:p>
          <w:p w14:paraId="36278315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3.3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支持快速治疗分诊，快速分配求美者的治疗医生。分诊时，支持快速查看各治疗人的实时工作量情况</w:t>
            </w:r>
          </w:p>
          <w:p w14:paraId="215BAF32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3.4 支持为求美者进行麻醉倒计时，支持语音播报提醒和患者微信提醒</w:t>
            </w:r>
          </w:p>
          <w:p w14:paraId="170C6755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3.5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支持治疗参数的快速登记。注射类项目支持面部实时点位登记操作，光电类项目模板兼容主流设备。支持同患者上次参数的快速引用。</w:t>
            </w:r>
          </w:p>
        </w:tc>
      </w:tr>
      <w:tr w14:paraId="069BF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3" w:hRule="atLeast"/>
        </w:trPr>
        <w:tc>
          <w:tcPr>
            <w:tcW w:w="1777" w:type="dxa"/>
            <w:vAlign w:val="center"/>
          </w:tcPr>
          <w:p w14:paraId="608EC2B1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4、影像互联</w:t>
            </w:r>
          </w:p>
        </w:tc>
        <w:tc>
          <w:tcPr>
            <w:tcW w:w="6745" w:type="dxa"/>
            <w:vAlign w:val="center"/>
          </w:tcPr>
          <w:p w14:paraId="3C43ACED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4.1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支持求美者扫码快速采集，无需在采集设备重复建档</w:t>
            </w:r>
          </w:p>
          <w:p w14:paraId="19B8CA3E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4.2 支持分诊患者快速选择拍照，无需重复录入</w:t>
            </w:r>
          </w:p>
          <w:p w14:paraId="473E3D57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4.3 支持国产皮肤镜、多光谱设备打通，实现互联互通</w:t>
            </w:r>
          </w:p>
          <w:p w14:paraId="5A1AB01F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4.4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支持单反相机的移动实时对接，实现快速拍摄、上传并自动合并至患者档案</w:t>
            </w:r>
          </w:p>
          <w:p w14:paraId="69C7DEC8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4.5 支持影像档案的批量导出</w:t>
            </w:r>
          </w:p>
          <w:p w14:paraId="4F4F0EFB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4.6 支持影像档案的水印定制，保护隐私</w:t>
            </w:r>
          </w:p>
          <w:p w14:paraId="1262C2F6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4.7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支持影像对比功能，并支持对称标记和快速下载</w:t>
            </w:r>
          </w:p>
        </w:tc>
      </w:tr>
      <w:tr w14:paraId="23A05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</w:trPr>
        <w:tc>
          <w:tcPr>
            <w:tcW w:w="1777" w:type="dxa"/>
            <w:vAlign w:val="center"/>
          </w:tcPr>
          <w:p w14:paraId="1265243D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5、诊后服务</w:t>
            </w:r>
          </w:p>
        </w:tc>
        <w:tc>
          <w:tcPr>
            <w:tcW w:w="6745" w:type="dxa"/>
            <w:vAlign w:val="center"/>
          </w:tcPr>
          <w:p w14:paraId="12F01FFD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5.1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支持术后注意事项的自动发送，并支持查看患者阅读状态</w:t>
            </w:r>
          </w:p>
          <w:p w14:paraId="616CFF38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5.2 支持根据治疗项目和诊断，向患者定期推送复诊提醒、回访计划</w:t>
            </w:r>
          </w:p>
          <w:p w14:paraId="6E309DA9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5.3 支持科室定制人工回访规则，自动生成待人工参与的回访任务</w:t>
            </w:r>
          </w:p>
          <w:p w14:paraId="4FEE6A7F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5.4 支持根据患者特征、行为、标签，精准推送不同服务内容</w:t>
            </w:r>
          </w:p>
        </w:tc>
      </w:tr>
      <w:tr w14:paraId="33622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0" w:hRule="atLeast"/>
        </w:trPr>
        <w:tc>
          <w:tcPr>
            <w:tcW w:w="1777" w:type="dxa"/>
            <w:vAlign w:val="center"/>
          </w:tcPr>
          <w:p w14:paraId="7CD9CB71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6、营销工具</w:t>
            </w:r>
          </w:p>
        </w:tc>
        <w:tc>
          <w:tcPr>
            <w:tcW w:w="6745" w:type="dxa"/>
            <w:vAlign w:val="center"/>
          </w:tcPr>
          <w:p w14:paraId="64E2F5DE">
            <w:pPr>
              <w:widowControl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6.1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支持为各个导流渠道生成专属引流码，能清晰统计各渠道引流人数及业绩，便于财务统计核算。支持科室微站任意页面内容，能灵活生成对应的引流码，从而实现渠道码内容个性化。</w:t>
            </w:r>
          </w:p>
          <w:p w14:paraId="501CDA8D">
            <w:pPr>
              <w:widowControl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6.2 支持根据患者行为生成积分</w:t>
            </w:r>
          </w:p>
          <w:p w14:paraId="3497DE6F">
            <w:pPr>
              <w:widowControl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6.3 支持套餐和年卡设置，方便科室开展活动</w:t>
            </w:r>
          </w:p>
          <w:p w14:paraId="17359845">
            <w:pPr>
              <w:widowControl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6.4 支持老带新活动，激励老患者推荐新患者</w:t>
            </w:r>
          </w:p>
        </w:tc>
      </w:tr>
      <w:tr w14:paraId="402E4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6" w:hRule="atLeast"/>
        </w:trPr>
        <w:tc>
          <w:tcPr>
            <w:tcW w:w="1777" w:type="dxa"/>
            <w:vAlign w:val="center"/>
          </w:tcPr>
          <w:p w14:paraId="581758E9">
            <w:pPr>
              <w:widowControl w:val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7、决策分析</w:t>
            </w:r>
          </w:p>
        </w:tc>
        <w:tc>
          <w:tcPr>
            <w:tcW w:w="6745" w:type="dxa"/>
            <w:vAlign w:val="center"/>
          </w:tcPr>
          <w:p w14:paraId="7746AAF7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7.1 支持科室经营数据的快速统计和明细数据下载，包括营收数据、开单数据、治疗数据</w:t>
            </w:r>
          </w:p>
          <w:p w14:paraId="19E2E7EF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7.2 支持科室经营数据进行快速分析，指导科室经营决策</w:t>
            </w:r>
          </w:p>
          <w:p w14:paraId="1A3F7439">
            <w:pPr>
              <w:widowControl w:val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7.3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▲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支持对科室求美者进行快速分析，形成会员行为漏斗</w:t>
            </w:r>
          </w:p>
        </w:tc>
      </w:tr>
    </w:tbl>
    <w:p w14:paraId="6FE40C79">
      <w:pPr>
        <w:pStyle w:val="4"/>
      </w:pPr>
    </w:p>
    <w:p w14:paraId="66821C89">
      <w:pPr>
        <w:pStyle w:val="4"/>
        <w:ind w:left="0" w:leftChars="0" w:firstLine="0" w:firstLineChars="0"/>
        <w:rPr>
          <w:rFonts w:hint="default" w:ascii="宋体" w:hAnsi="宋体" w:cstheme="minorBidi"/>
          <w:color w:val="auto"/>
          <w:lang w:val="en-US" w:eastAsia="zh-CN"/>
        </w:rPr>
      </w:pPr>
    </w:p>
    <w:p w14:paraId="29F541C1">
      <w:pPr>
        <w:pStyle w:val="3"/>
        <w:numPr>
          <w:ilvl w:val="0"/>
          <w:numId w:val="1"/>
        </w:numPr>
        <w:ind w:left="431" w:hanging="431"/>
      </w:pPr>
      <w:r>
        <w:rPr>
          <w:rFonts w:hint="eastAsia"/>
        </w:rPr>
        <w:t>项目实施</w:t>
      </w:r>
      <w:r>
        <w:rPr>
          <w:rFonts w:hint="eastAsia"/>
          <w:lang w:eastAsia="zh-CN"/>
        </w:rPr>
        <w:t>、</w:t>
      </w:r>
      <w:r>
        <w:rPr>
          <w:rFonts w:hint="eastAsia"/>
        </w:rPr>
        <w:t>售后服务</w:t>
      </w:r>
      <w:r>
        <w:rPr>
          <w:rFonts w:hint="eastAsia"/>
          <w:lang w:eastAsia="zh-CN"/>
        </w:rPr>
        <w:t>及商务</w:t>
      </w:r>
      <w:r>
        <w:rPr>
          <w:rFonts w:hint="eastAsia"/>
        </w:rPr>
        <w:t>要求</w:t>
      </w:r>
    </w:p>
    <w:p w14:paraId="13909848">
      <w:pPr>
        <w:pStyle w:val="5"/>
      </w:pPr>
      <w:r>
        <w:rPr>
          <w:rFonts w:hint="eastAsia"/>
          <w:lang w:eastAsia="zh-CN"/>
        </w:rPr>
        <w:t>实施</w:t>
      </w:r>
      <w:r>
        <w:rPr>
          <w:rFonts w:hint="eastAsia"/>
        </w:rPr>
        <w:t>人员要求</w:t>
      </w:r>
    </w:p>
    <w:p w14:paraId="14E3E0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center"/>
        <w:rPr>
          <w:rFonts w:hint="eastAsia" w:ascii="宋体" w:hAnsi="宋体" w:eastAsia="宋体" w:cs="宋体"/>
          <w:color w:val="000000"/>
          <w:kern w:val="0"/>
          <w:sz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lang w:eastAsia="zh-CN" w:bidi="ar"/>
        </w:rPr>
        <w:t>投标</w:t>
      </w:r>
      <w:bookmarkStart w:id="1" w:name="_GoBack"/>
      <w:bookmarkEnd w:id="1"/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人应仔细研读招标文件，根据项目内容及理解，提供项目详尽的实施方案和进度表。实施方案内容大致包括：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 w:bidi="ar"/>
        </w:rPr>
        <w:t>1.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组织保障安排：成立领导小组，领导小组中的责任分工等。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 w:bidi="ar"/>
        </w:rPr>
        <w:t>2.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制定具体的实施流程、实施内容。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 w:bidi="ar"/>
        </w:rPr>
        <w:t>3.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投标人应在系统实施方案中描述具体的实施团队的组成、工作内容、投入人员、项目进程表及采购人的配合等内容</w:t>
      </w:r>
      <w:r>
        <w:rPr>
          <w:rFonts w:hint="eastAsia" w:ascii="宋体" w:hAnsi="宋体" w:eastAsia="宋体" w:cs="宋体"/>
          <w:color w:val="auto"/>
          <w:kern w:val="0"/>
          <w:sz w:val="24"/>
          <w:lang w:bidi="ar"/>
        </w:rPr>
        <w:t>。实施期间，投标方应按招标文件要求</w:t>
      </w:r>
      <w:r>
        <w:rPr>
          <w:rFonts w:hint="eastAsia" w:ascii="宋体" w:hAnsi="宋体" w:cs="宋体"/>
          <w:color w:val="auto"/>
          <w:kern w:val="0"/>
          <w:sz w:val="24"/>
          <w:lang w:val="en-US" w:eastAsia="zh-CN" w:bidi="ar"/>
        </w:rPr>
        <w:t>安排</w:t>
      </w:r>
      <w:r>
        <w:rPr>
          <w:rFonts w:hint="eastAsia" w:ascii="宋体" w:hAnsi="宋体" w:eastAsia="宋体" w:cs="宋体"/>
          <w:color w:val="auto"/>
          <w:kern w:val="0"/>
          <w:sz w:val="24"/>
          <w:lang w:bidi="ar"/>
        </w:rPr>
        <w:t>具有同类</w:t>
      </w:r>
      <w:r>
        <w:rPr>
          <w:rFonts w:hint="eastAsia" w:ascii="宋体" w:hAnsi="宋体" w:cs="宋体"/>
          <w:color w:val="auto"/>
          <w:kern w:val="0"/>
          <w:sz w:val="24"/>
          <w:lang w:eastAsia="zh-CN" w:bidi="ar"/>
        </w:rPr>
        <w:t>医院</w:t>
      </w:r>
      <w:r>
        <w:rPr>
          <w:rFonts w:hint="eastAsia" w:ascii="宋体" w:hAnsi="宋体" w:eastAsia="宋体" w:cs="宋体"/>
          <w:color w:val="auto"/>
          <w:kern w:val="0"/>
          <w:sz w:val="24"/>
          <w:lang w:bidi="ar"/>
        </w:rPr>
        <w:t>项目成功实施经验的工程师进行项目的开发实施工作。投标方的实施团队应具有丰富的项目的经验，能协助医院提供全方位的工作，包括但不限于项目咨询、软件研发、系统实施等。</w:t>
      </w:r>
    </w:p>
    <w:p w14:paraId="0779FB48">
      <w:pPr>
        <w:pStyle w:val="4"/>
        <w:ind w:firstLine="480"/>
      </w:pPr>
      <w:r>
        <w:rPr>
          <w:rFonts w:hint="eastAsia"/>
        </w:rPr>
        <w:t>中标人须派驻</w:t>
      </w:r>
      <w:r>
        <w:rPr>
          <w:rFonts w:hint="eastAsia"/>
          <w:lang w:eastAsia="zh-CN"/>
        </w:rPr>
        <w:t>至少</w:t>
      </w:r>
      <w:r>
        <w:rPr>
          <w:rFonts w:hint="eastAsia"/>
        </w:rPr>
        <w:t>2名专职工程师进行本次项目需求细化调研、设计开发、功能测试、应用培训、部署上线、系统配置、数据准备等实施工作，在投标文件中提供承诺并加盖投标人公章。</w:t>
      </w:r>
    </w:p>
    <w:p w14:paraId="1BE7F505">
      <w:pPr>
        <w:pStyle w:val="5"/>
        <w:numPr>
          <w:ilvl w:val="1"/>
          <w:numId w:val="1"/>
        </w:numPr>
        <w:ind w:left="0" w:firstLine="0"/>
      </w:pPr>
      <w:r>
        <w:t>项目工期</w:t>
      </w:r>
    </w:p>
    <w:p w14:paraId="265B1FAC">
      <w:pPr>
        <w:pStyle w:val="4"/>
        <w:ind w:firstLine="480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>自</w:t>
      </w:r>
      <w:r>
        <w:rPr>
          <w:rFonts w:hint="eastAsia"/>
          <w:color w:val="auto"/>
          <w:highlight w:val="none"/>
          <w:lang w:eastAsia="zh-CN"/>
        </w:rPr>
        <w:t>招标结束后中标公司应予</w:t>
      </w:r>
      <w:r>
        <w:rPr>
          <w:rFonts w:hint="eastAsia"/>
          <w:color w:val="auto"/>
          <w:highlight w:val="none"/>
          <w:lang w:val="en-US" w:eastAsia="zh-CN"/>
        </w:rPr>
        <w:t>15个自然日内完成项目测试环境搭建，根据招标技术要求逐条测试，经采购方确认无误后签订项目合同，若采购方测试过程中确认测试情况与投标响应情况不付，此次招标将予以废标。</w:t>
      </w:r>
    </w:p>
    <w:p w14:paraId="0AD099ED">
      <w:pPr>
        <w:pStyle w:val="4"/>
        <w:ind w:firstLine="480"/>
      </w:pPr>
      <w:r>
        <w:rPr>
          <w:rFonts w:hint="eastAsia"/>
        </w:rPr>
        <w:t>自合同签订起</w:t>
      </w:r>
      <w:r>
        <w:rPr>
          <w:rFonts w:hint="eastAsia"/>
          <w:color w:val="auto"/>
          <w:lang w:val="en-US" w:eastAsia="zh-CN"/>
        </w:rPr>
        <w:t>15</w:t>
      </w:r>
      <w:r>
        <w:rPr>
          <w:rFonts w:hint="eastAsia"/>
          <w:color w:val="auto"/>
          <w:highlight w:val="none"/>
          <w:lang w:val="en-US" w:eastAsia="zh-CN"/>
        </w:rPr>
        <w:t>个自然日</w:t>
      </w:r>
      <w:r>
        <w:t>内完成系统功能需求细化调研、设计开发、功能测试、应用培训、部署上线等工作。</w:t>
      </w:r>
    </w:p>
    <w:p w14:paraId="2F427622">
      <w:pPr>
        <w:pStyle w:val="5"/>
        <w:numPr>
          <w:ilvl w:val="1"/>
          <w:numId w:val="1"/>
        </w:numPr>
        <w:ind w:left="0" w:firstLine="0"/>
      </w:pPr>
      <w:r>
        <w:rPr>
          <w:rFonts w:hint="eastAsia"/>
          <w:lang w:eastAsia="zh-CN"/>
        </w:rPr>
        <w:t>项目验收</w:t>
      </w:r>
    </w:p>
    <w:p w14:paraId="715BC4B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center"/>
        <w:rPr>
          <w:rFonts w:hint="eastAsia" w:ascii="宋体" w:hAnsi="宋体" w:eastAsia="宋体" w:cs="宋体"/>
          <w:color w:val="000000"/>
          <w:kern w:val="0"/>
          <w:sz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 w:bidi="ar"/>
        </w:rPr>
        <w:t>1、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采购人对投标人提供的</w:t>
      </w:r>
      <w:r>
        <w:rPr>
          <w:rFonts w:hint="eastAsia" w:ascii="宋体" w:hAnsi="宋体"/>
          <w:kern w:val="2"/>
          <w:sz w:val="24"/>
        </w:rPr>
        <w:t>产品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在使用前进行调试时，投标人需负责安装并培训采购人的使用操作人员，并协助采购人一起调试，直到符合技术要求，采购人才做最终验收。</w:t>
      </w:r>
    </w:p>
    <w:p w14:paraId="5FB5525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center"/>
        <w:rPr>
          <w:rFonts w:hint="eastAsia" w:ascii="宋体" w:hAnsi="宋体" w:eastAsia="宋体" w:cs="宋体"/>
          <w:color w:val="000000"/>
          <w:kern w:val="0"/>
          <w:sz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 w:bidi="ar"/>
        </w:rPr>
        <w:t>2、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验收时采购方、中标人等项目相关方都须在场，验收完毕后一致作出验收结果报告。</w:t>
      </w:r>
    </w:p>
    <w:p w14:paraId="139BD91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center"/>
        <w:rPr>
          <w:rFonts w:hint="eastAsia" w:ascii="宋体" w:hAnsi="宋体" w:eastAsia="宋体" w:cs="宋体"/>
          <w:color w:val="000000"/>
          <w:kern w:val="0"/>
          <w:sz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 w:bidi="ar"/>
        </w:rPr>
        <w:t>3、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交付文档验收要求：</w:t>
      </w:r>
    </w:p>
    <w:p w14:paraId="1F7D57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center"/>
        <w:rPr>
          <w:rFonts w:hint="eastAsia" w:ascii="宋体" w:hAnsi="宋体" w:eastAsia="宋体" w:cs="宋体"/>
          <w:color w:val="000000"/>
          <w:kern w:val="0"/>
          <w:sz w:val="24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项目的工作内容及成果文档的提交应覆盖以下内容，电子文档是成果不可分割的部分。</w:t>
      </w:r>
    </w:p>
    <w:p w14:paraId="581721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center"/>
        <w:rPr>
          <w:rFonts w:hint="eastAsia" w:ascii="宋体" w:hAnsi="宋体" w:eastAsia="宋体" w:cs="宋体"/>
          <w:color w:val="000000"/>
          <w:kern w:val="0"/>
          <w:sz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lang w:eastAsia="zh-CN" w:bidi="ar"/>
        </w:rPr>
        <w:t>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 w:bidi="ar"/>
        </w:rPr>
        <w:t>1</w:t>
      </w:r>
      <w:r>
        <w:rPr>
          <w:rFonts w:hint="eastAsia" w:ascii="宋体" w:hAnsi="宋体" w:cs="宋体"/>
          <w:color w:val="000000"/>
          <w:kern w:val="0"/>
          <w:sz w:val="24"/>
          <w:lang w:eastAsia="zh-CN" w:bidi="ar"/>
        </w:rPr>
        <w:t>）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系统的体系架构及描述。</w:t>
      </w:r>
    </w:p>
    <w:p w14:paraId="090B1A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center"/>
        <w:rPr>
          <w:rFonts w:hint="eastAsia" w:ascii="宋体" w:hAnsi="宋体" w:eastAsia="宋体" w:cs="宋体"/>
          <w:color w:val="000000"/>
          <w:kern w:val="0"/>
          <w:sz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lang w:eastAsia="zh-CN" w:bidi="ar"/>
        </w:rPr>
        <w:t>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 w:bidi="ar"/>
        </w:rPr>
        <w:t>2</w:t>
      </w:r>
      <w:r>
        <w:rPr>
          <w:rFonts w:hint="eastAsia" w:ascii="宋体" w:hAnsi="宋体" w:cs="宋体"/>
          <w:color w:val="000000"/>
          <w:kern w:val="0"/>
          <w:sz w:val="24"/>
          <w:lang w:eastAsia="zh-CN" w:bidi="ar"/>
        </w:rPr>
        <w:t>）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提供的其它技术手册，包括：需求分析报告（含软件功能需求与数据要求）；《详细设计说明书》；《接口文档》；系统实施确认书；软件培训资料；《系统运行维护手册》；项目验收报告。</w:t>
      </w:r>
    </w:p>
    <w:p w14:paraId="45D4088B">
      <w:pPr>
        <w:numPr>
          <w:ilvl w:val="0"/>
          <w:numId w:val="0"/>
        </w:numPr>
        <w:ind w:leftChars="200"/>
      </w:pPr>
      <w:r>
        <w:rPr>
          <w:rFonts w:hint="eastAsia" w:ascii="宋体" w:hAnsi="宋体" w:cs="宋体"/>
          <w:color w:val="000000"/>
          <w:kern w:val="0"/>
          <w:sz w:val="24"/>
          <w:lang w:eastAsia="zh-CN" w:bidi="ar"/>
        </w:rPr>
        <w:t>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 w:bidi="ar"/>
        </w:rPr>
        <w:t>3</w:t>
      </w:r>
      <w:r>
        <w:rPr>
          <w:rFonts w:hint="eastAsia" w:ascii="宋体" w:hAnsi="宋体" w:cs="宋体"/>
          <w:color w:val="000000"/>
          <w:kern w:val="0"/>
          <w:sz w:val="24"/>
          <w:lang w:eastAsia="zh-CN" w:bidi="ar"/>
        </w:rPr>
        <w:t>）</w:t>
      </w:r>
      <w:r>
        <w:rPr>
          <w:rFonts w:hint="eastAsia" w:ascii="宋体" w:hAnsi="宋体" w:eastAsia="宋体" w:cs="宋体"/>
          <w:color w:val="000000"/>
          <w:kern w:val="0"/>
          <w:sz w:val="24"/>
          <w:lang w:eastAsia="zh-CN" w:bidi="ar"/>
        </w:rPr>
        <w:t>符合招标方项目管理要求</w:t>
      </w:r>
      <w:r>
        <w:rPr>
          <w:rFonts w:hint="eastAsia" w:ascii="宋体" w:hAnsi="宋体" w:cs="宋体"/>
          <w:color w:val="000000"/>
          <w:kern w:val="0"/>
          <w:sz w:val="24"/>
          <w:lang w:eastAsia="zh-CN" w:bidi="ar"/>
        </w:rPr>
        <w:t>，</w:t>
      </w:r>
      <w:r>
        <w:rPr>
          <w:rFonts w:hint="eastAsia" w:ascii="宋体" w:hAnsi="宋体" w:eastAsia="宋体" w:cs="宋体"/>
        </w:rPr>
        <w:t>提交相应项目资料</w:t>
      </w:r>
      <w:r>
        <w:rPr>
          <w:rFonts w:hint="eastAsia" w:ascii="宋体" w:hAnsi="宋体" w:eastAsia="宋体" w:cs="宋体"/>
          <w:lang w:eastAsia="zh-CN"/>
        </w:rPr>
        <w:t>。</w:t>
      </w:r>
    </w:p>
    <w:p w14:paraId="01E61FD3">
      <w:pPr>
        <w:pStyle w:val="5"/>
        <w:numPr>
          <w:ilvl w:val="1"/>
          <w:numId w:val="1"/>
        </w:numPr>
        <w:ind w:left="0" w:firstLine="0"/>
      </w:pPr>
      <w:r>
        <w:t>项目培训</w:t>
      </w:r>
    </w:p>
    <w:p w14:paraId="530DE99F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1、培训：培训对象包括系统管理员、医院管理人员、操作员，系统管理人员培训内容为系统中涉及的相关技术内容；医院管理人员培训内容为系统流程和相关管理思想；操作员为系统的操作培训。</w:t>
      </w:r>
    </w:p>
    <w:p w14:paraId="6EE61D52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2、根据医院的情况制定相关培训方案，课程设置等。包括培训资料、讲义等。</w:t>
      </w:r>
    </w:p>
    <w:p w14:paraId="67EC82FB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lang w:eastAsia="zh-CN" w:bidi="ar"/>
        </w:rPr>
      </w:pPr>
      <w:r>
        <w:rPr>
          <w:rFonts w:hint="eastAsia" w:ascii="宋体" w:hAnsi="宋体"/>
          <w:sz w:val="24"/>
        </w:rPr>
        <w:t>3、所有的培训费用必须计入投标总价。</w:t>
      </w:r>
    </w:p>
    <w:p w14:paraId="4EFD1C2B">
      <w:pPr>
        <w:pStyle w:val="5"/>
        <w:numPr>
          <w:ilvl w:val="1"/>
          <w:numId w:val="1"/>
        </w:numPr>
        <w:ind w:left="0" w:firstLine="0"/>
        <w:rPr>
          <w:rFonts w:eastAsia="宋体"/>
        </w:rPr>
      </w:pPr>
      <w:r>
        <w:rPr>
          <w:rFonts w:eastAsia="宋体"/>
        </w:rPr>
        <w:t>售后服务</w:t>
      </w:r>
    </w:p>
    <w:p w14:paraId="5F263987">
      <w:pPr>
        <w:pStyle w:val="11"/>
        <w:numPr>
          <w:ilvl w:val="0"/>
          <w:numId w:val="2"/>
        </w:numPr>
        <w:spacing w:line="360" w:lineRule="auto"/>
        <w:ind w:firstLine="480"/>
        <w:rPr>
          <w:rFonts w:hint="eastAsia" w:ascii="宋体" w:hAnsi="宋体"/>
          <w:kern w:val="2"/>
          <w:sz w:val="24"/>
          <w:lang w:eastAsia="zh-CN"/>
        </w:rPr>
      </w:pPr>
      <w:r>
        <w:rPr>
          <w:rFonts w:hint="eastAsia" w:ascii="宋体" w:hAnsi="宋体"/>
          <w:kern w:val="2"/>
          <w:sz w:val="24"/>
        </w:rPr>
        <w:t>本次项目中涉及的产品</w:t>
      </w:r>
      <w:r>
        <w:rPr>
          <w:rFonts w:hint="eastAsia" w:ascii="宋体" w:hAnsi="宋体"/>
          <w:kern w:val="2"/>
          <w:sz w:val="24"/>
          <w:lang w:eastAsia="zh-CN"/>
        </w:rPr>
        <w:t>自验收之日起</w:t>
      </w:r>
      <w:r>
        <w:rPr>
          <w:rFonts w:hint="eastAsia" w:ascii="宋体" w:hAnsi="宋体"/>
          <w:kern w:val="2"/>
          <w:sz w:val="24"/>
        </w:rPr>
        <w:t>须至少提供</w:t>
      </w:r>
      <w:bookmarkStart w:id="0" w:name="_Hlk90630139"/>
      <w:r>
        <w:rPr>
          <w:rFonts w:hint="eastAsia" w:ascii="宋体" w:hAnsi="宋体"/>
          <w:kern w:val="2"/>
          <w:sz w:val="24"/>
          <w:lang w:val="en-US" w:eastAsia="zh-CN"/>
        </w:rPr>
        <w:t>1</w:t>
      </w:r>
      <w:r>
        <w:rPr>
          <w:rFonts w:hint="eastAsia" w:ascii="宋体" w:hAnsi="宋体"/>
          <w:kern w:val="2"/>
          <w:sz w:val="24"/>
          <w:highlight w:val="none"/>
        </w:rPr>
        <w:t>年</w:t>
      </w:r>
      <w:bookmarkEnd w:id="0"/>
      <w:r>
        <w:rPr>
          <w:rFonts w:hint="eastAsia" w:ascii="宋体" w:hAnsi="宋体"/>
          <w:kern w:val="2"/>
          <w:sz w:val="24"/>
          <w:lang w:eastAsia="zh-CN"/>
        </w:rPr>
        <w:t>免费维保</w:t>
      </w:r>
      <w:r>
        <w:rPr>
          <w:rFonts w:hint="eastAsia" w:ascii="宋体" w:hAnsi="宋体"/>
          <w:kern w:val="2"/>
          <w:sz w:val="24"/>
        </w:rPr>
        <w:t>服务</w:t>
      </w:r>
      <w:r>
        <w:rPr>
          <w:rFonts w:hint="eastAsia" w:ascii="宋体" w:hAnsi="宋体"/>
          <w:kern w:val="2"/>
          <w:sz w:val="24"/>
          <w:lang w:eastAsia="zh-CN"/>
        </w:rPr>
        <w:t>。</w:t>
      </w:r>
    </w:p>
    <w:p w14:paraId="4A153E47">
      <w:pPr>
        <w:pStyle w:val="11"/>
        <w:numPr>
          <w:ilvl w:val="0"/>
          <w:numId w:val="2"/>
        </w:numPr>
        <w:spacing w:line="360" w:lineRule="auto"/>
        <w:ind w:firstLine="480"/>
        <w:rPr>
          <w:rFonts w:hint="eastAsia" w:ascii="宋体" w:hAnsi="宋体"/>
          <w:kern w:val="2"/>
          <w:sz w:val="24"/>
        </w:rPr>
      </w:pPr>
      <w:r>
        <w:rPr>
          <w:rFonts w:hint="eastAsia" w:ascii="宋体" w:hAnsi="宋体"/>
          <w:kern w:val="2"/>
          <w:sz w:val="24"/>
        </w:rPr>
        <w:t>投标方应在投标文件中说明在</w:t>
      </w:r>
      <w:r>
        <w:rPr>
          <w:rFonts w:hint="eastAsia" w:ascii="宋体" w:hAnsi="宋体"/>
          <w:kern w:val="2"/>
          <w:sz w:val="24"/>
          <w:lang w:eastAsia="zh-CN"/>
        </w:rPr>
        <w:t>免费维保</w:t>
      </w:r>
      <w:r>
        <w:rPr>
          <w:rFonts w:hint="eastAsia" w:ascii="宋体" w:hAnsi="宋体"/>
          <w:kern w:val="2"/>
          <w:sz w:val="24"/>
        </w:rPr>
        <w:t>期内提供的服务计划，维护范围包括（包括但不限于）软件安装，调试、维修，接口、集成</w:t>
      </w:r>
      <w:r>
        <w:rPr>
          <w:rFonts w:hint="eastAsia" w:ascii="宋体" w:hAnsi="宋体"/>
          <w:kern w:val="2"/>
          <w:sz w:val="24"/>
          <w:lang w:eastAsia="zh-CN"/>
        </w:rPr>
        <w:t>、升级</w:t>
      </w:r>
      <w:r>
        <w:rPr>
          <w:rFonts w:hint="eastAsia" w:ascii="宋体" w:hAnsi="宋体"/>
          <w:kern w:val="2"/>
          <w:sz w:val="24"/>
        </w:rPr>
        <w:t>等内容。</w:t>
      </w:r>
    </w:p>
    <w:p w14:paraId="107B7D3B">
      <w:pPr>
        <w:pStyle w:val="11"/>
        <w:numPr>
          <w:ilvl w:val="0"/>
          <w:numId w:val="2"/>
        </w:numPr>
        <w:spacing w:line="360" w:lineRule="auto"/>
        <w:ind w:left="0" w:leftChars="0" w:firstLine="480" w:firstLineChars="200"/>
        <w:rPr>
          <w:rFonts w:hint="eastAsia" w:ascii="宋体" w:hAnsi="宋体"/>
          <w:color w:val="auto"/>
          <w:kern w:val="2"/>
          <w:sz w:val="24"/>
        </w:rPr>
      </w:pPr>
      <w:r>
        <w:rPr>
          <w:rFonts w:hint="eastAsia" w:ascii="宋体" w:hAnsi="宋体"/>
          <w:color w:val="auto"/>
          <w:kern w:val="2"/>
          <w:sz w:val="24"/>
        </w:rPr>
        <w:t>在</w:t>
      </w:r>
      <w:r>
        <w:rPr>
          <w:rFonts w:hint="eastAsia" w:ascii="宋体" w:hAnsi="宋体"/>
          <w:color w:val="auto"/>
          <w:kern w:val="2"/>
          <w:sz w:val="24"/>
          <w:lang w:eastAsia="zh-CN"/>
        </w:rPr>
        <w:t>免费维保</w:t>
      </w:r>
      <w:r>
        <w:rPr>
          <w:rFonts w:hint="eastAsia" w:ascii="宋体" w:hAnsi="宋体"/>
          <w:color w:val="auto"/>
          <w:kern w:val="2"/>
          <w:sz w:val="24"/>
        </w:rPr>
        <w:t>期内，投标方应确保系统的正常使用。项目验收后根据实际需要，指定工程技术人员提供技术服务，采取现场支持、远程维护、电话、电子邮件、互联网远程支持等多种服务方式。</w:t>
      </w:r>
    </w:p>
    <w:p w14:paraId="53C2F14D">
      <w:pPr>
        <w:pStyle w:val="11"/>
        <w:numPr>
          <w:ilvl w:val="0"/>
          <w:numId w:val="2"/>
        </w:numPr>
        <w:spacing w:line="360" w:lineRule="auto"/>
        <w:ind w:left="0" w:leftChars="0" w:firstLine="480" w:firstLineChars="200"/>
        <w:rPr>
          <w:rFonts w:hint="eastAsia" w:ascii="宋体" w:hAnsi="宋体"/>
          <w:color w:val="auto"/>
          <w:kern w:val="2"/>
          <w:sz w:val="24"/>
        </w:rPr>
      </w:pPr>
      <w:r>
        <w:rPr>
          <w:rFonts w:hint="eastAsia" w:ascii="宋体" w:hAnsi="宋体"/>
          <w:kern w:val="2"/>
          <w:sz w:val="24"/>
        </w:rPr>
        <w:t>在</w:t>
      </w:r>
      <w:r>
        <w:rPr>
          <w:rFonts w:hint="eastAsia" w:ascii="宋体" w:hAnsi="宋体"/>
          <w:kern w:val="2"/>
          <w:sz w:val="24"/>
          <w:lang w:eastAsia="zh-CN"/>
        </w:rPr>
        <w:t>免费维保</w:t>
      </w:r>
      <w:r>
        <w:rPr>
          <w:rFonts w:hint="eastAsia" w:ascii="宋体" w:hAnsi="宋体"/>
          <w:kern w:val="2"/>
          <w:sz w:val="24"/>
        </w:rPr>
        <w:t>期内，</w:t>
      </w:r>
      <w:r>
        <w:rPr>
          <w:rFonts w:hint="eastAsia" w:ascii="宋体" w:hAnsi="宋体"/>
          <w:color w:val="auto"/>
          <w:kern w:val="2"/>
          <w:sz w:val="24"/>
        </w:rPr>
        <w:t>提供全年每周7天、每天24小时的全天候服务和每天24小时热线电话服务，包括节假日，电话响应时间不超过30分钟，一级故障到场处理包括到场时间不超过2h，二级故障到场处理时间不超过3h，三级故障处理时间不超过48h，四级故障处理时间不超过一周。</w:t>
      </w:r>
    </w:p>
    <w:p w14:paraId="0B8F870B">
      <w:pPr>
        <w:pStyle w:val="11"/>
        <w:numPr>
          <w:ilvl w:val="0"/>
          <w:numId w:val="0"/>
        </w:numPr>
        <w:spacing w:line="360" w:lineRule="auto"/>
        <w:ind w:leftChars="200"/>
        <w:rPr>
          <w:rFonts w:hint="eastAsia" w:ascii="宋体" w:hAnsi="宋体"/>
          <w:color w:val="auto"/>
          <w:kern w:val="2"/>
          <w:sz w:val="24"/>
        </w:rPr>
      </w:pPr>
      <w:r>
        <w:rPr>
          <w:rFonts w:hint="eastAsia" w:ascii="宋体" w:hAnsi="宋体"/>
          <w:color w:val="auto"/>
          <w:kern w:val="2"/>
          <w:sz w:val="24"/>
        </w:rPr>
        <w:t>一级故障：系统停机、数据库故障、服务器瘫痪等，或对正常业务运作有严重影响。</w:t>
      </w:r>
    </w:p>
    <w:p w14:paraId="3189CE46">
      <w:pPr>
        <w:pStyle w:val="11"/>
        <w:numPr>
          <w:ilvl w:val="0"/>
          <w:numId w:val="0"/>
        </w:numPr>
        <w:spacing w:line="360" w:lineRule="auto"/>
        <w:ind w:leftChars="200"/>
        <w:rPr>
          <w:rFonts w:hint="eastAsia" w:ascii="宋体" w:hAnsi="宋体"/>
          <w:color w:val="auto"/>
          <w:kern w:val="2"/>
          <w:sz w:val="24"/>
        </w:rPr>
      </w:pPr>
      <w:r>
        <w:rPr>
          <w:rFonts w:hint="eastAsia" w:ascii="宋体" w:hAnsi="宋体"/>
          <w:color w:val="auto"/>
          <w:kern w:val="2"/>
          <w:sz w:val="24"/>
        </w:rPr>
        <w:t>二级故障：系统的操作性能严重下降，或由于系统性能明显下降，使业务运作有影响，系统功能bug或日常故障。</w:t>
      </w:r>
    </w:p>
    <w:p w14:paraId="0CB3741E">
      <w:pPr>
        <w:pStyle w:val="11"/>
        <w:numPr>
          <w:ilvl w:val="0"/>
          <w:numId w:val="0"/>
        </w:numPr>
        <w:spacing w:line="360" w:lineRule="auto"/>
        <w:ind w:leftChars="200"/>
        <w:rPr>
          <w:rFonts w:hint="eastAsia" w:ascii="宋体" w:hAnsi="宋体"/>
          <w:color w:val="auto"/>
          <w:kern w:val="2"/>
          <w:sz w:val="24"/>
        </w:rPr>
      </w:pPr>
      <w:r>
        <w:rPr>
          <w:rFonts w:hint="eastAsia" w:ascii="宋体" w:hAnsi="宋体"/>
          <w:color w:val="auto"/>
          <w:kern w:val="2"/>
          <w:sz w:val="24"/>
        </w:rPr>
        <w:t>三级故障：系统的操作性能下降，但大部分业务运作仍可正常工作。</w:t>
      </w:r>
    </w:p>
    <w:p w14:paraId="0A789042">
      <w:pPr>
        <w:pStyle w:val="11"/>
        <w:numPr>
          <w:ilvl w:val="0"/>
          <w:numId w:val="0"/>
        </w:numPr>
        <w:spacing w:line="360" w:lineRule="auto"/>
        <w:ind w:leftChars="200"/>
        <w:rPr>
          <w:rFonts w:hint="eastAsia" w:ascii="宋体" w:hAnsi="宋体"/>
          <w:color w:val="auto"/>
          <w:kern w:val="2"/>
          <w:sz w:val="24"/>
        </w:rPr>
      </w:pPr>
      <w:r>
        <w:rPr>
          <w:rFonts w:hint="eastAsia" w:ascii="宋体" w:hAnsi="宋体"/>
          <w:color w:val="auto"/>
          <w:kern w:val="2"/>
          <w:sz w:val="24"/>
        </w:rPr>
        <w:t>四级故障：软件功能、硬件更换、接口对接或其他需要时间修改的问题。</w:t>
      </w:r>
    </w:p>
    <w:p w14:paraId="0CAE05CA">
      <w:pPr>
        <w:pStyle w:val="11"/>
        <w:numPr>
          <w:ilvl w:val="0"/>
          <w:numId w:val="2"/>
        </w:numPr>
        <w:spacing w:line="360" w:lineRule="auto"/>
        <w:ind w:left="0" w:leftChars="0" w:firstLine="480" w:firstLineChars="200"/>
        <w:rPr>
          <w:rFonts w:hint="eastAsia" w:ascii="宋体" w:hAnsi="宋体"/>
          <w:color w:val="auto"/>
          <w:kern w:val="2"/>
          <w:sz w:val="24"/>
        </w:rPr>
      </w:pPr>
      <w:r>
        <w:rPr>
          <w:rFonts w:hint="eastAsia" w:ascii="宋体" w:hAnsi="宋体"/>
          <w:kern w:val="2"/>
          <w:sz w:val="24"/>
        </w:rPr>
        <w:t>项目验收合格后，每年不低于4次的例行维护及巡检。例行维护内容包括：软件的功能增强性维护等应用软件系统扩充升级（其中包括系统维护、跟踪检测），保证投标方</w:t>
      </w:r>
      <w:r>
        <w:rPr>
          <w:rFonts w:hint="eastAsia" w:ascii="宋体" w:hAnsi="宋体"/>
          <w:color w:val="auto"/>
          <w:kern w:val="2"/>
          <w:sz w:val="24"/>
        </w:rPr>
        <w:t>所产品的正常运行。</w:t>
      </w:r>
    </w:p>
    <w:p w14:paraId="44B7DA00">
      <w:pPr>
        <w:pStyle w:val="11"/>
        <w:numPr>
          <w:ilvl w:val="0"/>
          <w:numId w:val="2"/>
        </w:numPr>
        <w:spacing w:line="360" w:lineRule="auto"/>
        <w:ind w:left="0" w:leftChars="0" w:firstLine="480" w:firstLineChars="200"/>
        <w:rPr>
          <w:rFonts w:hint="eastAsia" w:ascii="宋体" w:hAnsi="宋体"/>
          <w:color w:val="auto"/>
          <w:kern w:val="2"/>
          <w:sz w:val="24"/>
        </w:rPr>
      </w:pPr>
      <w:r>
        <w:rPr>
          <w:rFonts w:hint="eastAsia" w:ascii="宋体" w:hAnsi="宋体"/>
          <w:color w:val="auto"/>
          <w:kern w:val="2"/>
          <w:sz w:val="24"/>
          <w:lang w:val="en-US" w:eastAsia="zh-CN"/>
        </w:rPr>
        <w:t>免费维保期满后，另签维保协议，维保服务费以实际商议为准。</w:t>
      </w:r>
    </w:p>
    <w:p w14:paraId="1F1A2AD7">
      <w:pPr>
        <w:pStyle w:val="5"/>
        <w:numPr>
          <w:ilvl w:val="1"/>
          <w:numId w:val="1"/>
        </w:numPr>
        <w:ind w:left="0" w:firstLine="0"/>
        <w:rPr>
          <w:rFonts w:hint="eastAsia" w:eastAsia="宋体"/>
          <w:color w:val="auto"/>
          <w:lang w:eastAsia="zh-CN"/>
        </w:rPr>
      </w:pPr>
      <w:r>
        <w:rPr>
          <w:rFonts w:hint="eastAsia" w:eastAsia="宋体"/>
          <w:color w:val="auto"/>
          <w:lang w:eastAsia="zh-CN"/>
        </w:rPr>
        <w:t>付款方式</w:t>
      </w:r>
    </w:p>
    <w:p w14:paraId="441886CE">
      <w:pPr>
        <w:pStyle w:val="4"/>
        <w:ind w:firstLine="480"/>
        <w:rPr>
          <w:rFonts w:hint="eastAsia" w:eastAsia="宋体"/>
          <w:color w:val="auto"/>
          <w:lang w:eastAsia="zh-CN"/>
        </w:rPr>
      </w:pPr>
      <w:r>
        <w:rPr>
          <w:rFonts w:hint="eastAsia" w:eastAsia="宋体"/>
          <w:color w:val="auto"/>
        </w:rPr>
        <w:t>本项目涉及到的软件实施、调试、培训、安装、上线、运行</w:t>
      </w:r>
      <w:r>
        <w:rPr>
          <w:rFonts w:hint="eastAsia"/>
          <w:color w:val="auto"/>
          <w:lang w:val="en-US" w:eastAsia="zh-CN"/>
        </w:rPr>
        <w:t>的费用均</w:t>
      </w:r>
      <w:r>
        <w:rPr>
          <w:rFonts w:hint="eastAsia" w:eastAsia="宋体"/>
          <w:color w:val="auto"/>
        </w:rPr>
        <w:t>由中标方承担。</w:t>
      </w:r>
    </w:p>
    <w:p w14:paraId="70B1DD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color w:val="000000"/>
          <w:kern w:val="0"/>
          <w:sz w:val="24"/>
          <w:lang w:val="en-US" w:eastAsia="zh-CN" w:bidi="ar"/>
        </w:rPr>
      </w:pPr>
      <w:r>
        <w:rPr>
          <w:rFonts w:hint="eastAsia" w:eastAsia="宋体"/>
          <w:color w:val="auto"/>
          <w:lang w:eastAsia="zh-CN"/>
        </w:rPr>
        <w:t>项目系统上线运行且符合标书及《</w:t>
      </w:r>
      <w:r>
        <w:rPr>
          <w:rFonts w:hint="eastAsia" w:eastAsia="宋体"/>
          <w:color w:val="auto"/>
          <w:lang w:val="en-US" w:eastAsia="zh-CN"/>
        </w:rPr>
        <w:t>实施计划</w:t>
      </w:r>
      <w:r>
        <w:rPr>
          <w:rFonts w:hint="eastAsia" w:eastAsia="宋体"/>
          <w:color w:val="auto"/>
          <w:lang w:eastAsia="zh-CN"/>
        </w:rPr>
        <w:t>》的技术要求，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 w:bidi="ar"/>
        </w:rPr>
        <w:t>采购方组织相关人员进行项目系统验收，双方签名确认验收报告后15个工作日内，中标方向采购方提供发票及付款申请，采购方向中标方支付合同金总额的</w:t>
      </w:r>
      <w:r>
        <w:rPr>
          <w:rFonts w:hint="eastAsia" w:ascii="宋体" w:hAnsi="宋体" w:cs="宋体"/>
          <w:color w:val="auto"/>
          <w:kern w:val="0"/>
          <w:sz w:val="24"/>
          <w:highlight w:val="none"/>
          <w:lang w:val="en-US" w:eastAsia="zh-CN" w:bidi="ar"/>
        </w:rPr>
        <w:t>9</w:t>
      </w:r>
      <w:r>
        <w:rPr>
          <w:rFonts w:hint="eastAsia" w:ascii="宋体" w:hAnsi="宋体" w:eastAsia="宋体" w:cs="宋体"/>
          <w:color w:val="auto"/>
          <w:kern w:val="0"/>
          <w:sz w:val="24"/>
          <w:highlight w:val="none"/>
          <w:lang w:val="en-US" w:eastAsia="zh-CN" w:bidi="ar"/>
        </w:rPr>
        <w:t>0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lang w:val="en-US" w:eastAsia="zh-CN" w:bidi="ar"/>
        </w:rPr>
        <w:t>%。</w:t>
      </w:r>
      <w:r>
        <w:rPr>
          <w:rFonts w:hint="eastAsia" w:ascii="宋体" w:hAnsi="宋体" w:cs="宋体"/>
          <w:color w:val="000000"/>
          <w:kern w:val="0"/>
          <w:sz w:val="24"/>
          <w:highlight w:val="none"/>
          <w:lang w:val="en-US" w:eastAsia="zh-CN" w:bidi="ar"/>
        </w:rPr>
        <w:t>验收合格1年后，支付合同总金额10%。</w:t>
      </w:r>
    </w:p>
    <w:p w14:paraId="2AE0CF41">
      <w:pPr>
        <w:pStyle w:val="4"/>
        <w:ind w:firstLine="480"/>
        <w:rPr>
          <w:rFonts w:hint="eastAsia" w:ascii="宋体" w:hAnsi="宋体" w:eastAsia="宋体" w:cs="宋体"/>
          <w:color w:val="000000"/>
          <w:kern w:val="0"/>
          <w:sz w:val="24"/>
          <w:lang w:val="en-US" w:eastAsia="zh-CN" w:bidi="ar"/>
        </w:rPr>
      </w:pPr>
    </w:p>
    <w:p w14:paraId="757CA578">
      <w:pPr>
        <w:pStyle w:val="4"/>
        <w:ind w:firstLine="480"/>
        <w:rPr>
          <w:rFonts w:hint="eastAsia" w:ascii="宋体" w:hAnsi="宋体" w:eastAsia="宋体" w:cs="宋体"/>
          <w:color w:val="000000"/>
          <w:kern w:val="0"/>
          <w:sz w:val="24"/>
          <w:lang w:val="en-US" w:eastAsia="zh-CN" w:bidi="ar"/>
        </w:rPr>
      </w:pPr>
    </w:p>
    <w:p w14:paraId="74738FA2">
      <w:pPr>
        <w:pStyle w:val="4"/>
        <w:ind w:firstLine="480"/>
        <w:rPr>
          <w:rFonts w:hint="eastAsia" w:ascii="宋体" w:hAnsi="宋体" w:eastAsia="宋体" w:cs="宋体"/>
          <w:color w:val="000000"/>
          <w:kern w:val="0"/>
          <w:sz w:val="24"/>
          <w:lang w:val="en-US" w:eastAsia="zh-CN" w:bidi="ar"/>
        </w:rPr>
      </w:pPr>
    </w:p>
    <w:p w14:paraId="1F607FEA">
      <w:pPr>
        <w:pStyle w:val="4"/>
        <w:ind w:firstLine="480"/>
        <w:rPr>
          <w:rFonts w:hint="eastAsia" w:ascii="宋体" w:hAnsi="宋体" w:eastAsia="宋体" w:cs="宋体"/>
          <w:color w:val="000000"/>
          <w:kern w:val="0"/>
          <w:sz w:val="24"/>
          <w:lang w:val="en-US" w:eastAsia="zh-CN" w:bidi="ar"/>
        </w:rPr>
      </w:pPr>
    </w:p>
    <w:p w14:paraId="4C3ED8EE">
      <w:pPr>
        <w:pStyle w:val="4"/>
        <w:ind w:firstLine="480"/>
        <w:rPr>
          <w:rFonts w:hint="eastAsia" w:ascii="宋体" w:hAnsi="宋体" w:eastAsia="宋体" w:cs="宋体"/>
          <w:color w:val="000000"/>
          <w:kern w:val="0"/>
          <w:sz w:val="24"/>
          <w:lang w:val="en-US" w:eastAsia="zh-CN" w:bidi="ar"/>
        </w:rPr>
      </w:pPr>
    </w:p>
    <w:p w14:paraId="425C303B">
      <w:pPr>
        <w:pStyle w:val="4"/>
        <w:ind w:firstLine="480"/>
        <w:rPr>
          <w:rFonts w:hint="eastAsia" w:ascii="宋体" w:hAnsi="宋体" w:eastAsia="宋体" w:cs="宋体"/>
          <w:color w:val="000000"/>
          <w:kern w:val="0"/>
          <w:sz w:val="24"/>
          <w:lang w:val="en-US" w:eastAsia="zh-CN" w:bidi="ar"/>
        </w:rPr>
      </w:pPr>
    </w:p>
    <w:p w14:paraId="237EEDAC">
      <w:pPr>
        <w:pStyle w:val="4"/>
        <w:ind w:firstLine="480"/>
        <w:rPr>
          <w:rFonts w:hint="eastAsia" w:ascii="宋体" w:hAnsi="宋体" w:eastAsia="宋体" w:cs="宋体"/>
          <w:color w:val="000000"/>
          <w:kern w:val="0"/>
          <w:sz w:val="24"/>
          <w:lang w:val="en-US" w:eastAsia="zh-CN" w:bidi="ar"/>
        </w:rPr>
      </w:pPr>
    </w:p>
    <w:p w14:paraId="4A2FC077">
      <w:pPr>
        <w:pStyle w:val="4"/>
        <w:ind w:left="0" w:leftChars="0" w:firstLine="0" w:firstLineChars="0"/>
        <w:rPr>
          <w:rFonts w:ascii="宋体" w:hAnsi="宋体" w:cstheme="minorBidi"/>
          <w:color w:val="auto"/>
        </w:rPr>
      </w:pPr>
    </w:p>
    <w:p w14:paraId="77D4C65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48BB29"/>
    <w:multiLevelType w:val="singleLevel"/>
    <w:tmpl w:val="BD48BB29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9682B67"/>
    <w:multiLevelType w:val="multilevel"/>
    <w:tmpl w:val="29682B67"/>
    <w:lvl w:ilvl="0" w:tentative="0">
      <w:start w:val="1"/>
      <w:numFmt w:val="decimal"/>
      <w:pStyle w:val="3"/>
      <w:suff w:val="space"/>
      <w:lvlText w:val="%1"/>
      <w:lvlJc w:val="left"/>
      <w:pPr>
        <w:ind w:left="432" w:hanging="432"/>
      </w:pPr>
      <w:rPr>
        <w:rFonts w:hint="eastAsia"/>
        <w:sz w:val="32"/>
        <w:szCs w:val="32"/>
      </w:rPr>
    </w:lvl>
    <w:lvl w:ilvl="1" w:tentative="0">
      <w:start w:val="1"/>
      <w:numFmt w:val="decimal"/>
      <w:pStyle w:val="5"/>
      <w:suff w:val="space"/>
      <w:lvlText w:val="%1.%2"/>
      <w:lvlJc w:val="left"/>
      <w:pPr>
        <w:ind w:left="576" w:hanging="576"/>
      </w:pPr>
      <w:rPr>
        <w:rFonts w:hint="eastAsia"/>
      </w:rPr>
    </w:lvl>
    <w:lvl w:ilvl="2" w:tentative="0">
      <w:start w:val="1"/>
      <w:numFmt w:val="decimal"/>
      <w:suff w:val="space"/>
      <w:lvlText w:val="%1.%2.%3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suff w:val="space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suff w:val="space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suff w:val="space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suff w:val="space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82522F"/>
    <w:rsid w:val="05A117B1"/>
    <w:rsid w:val="0C451165"/>
    <w:rsid w:val="0CDC4B32"/>
    <w:rsid w:val="0D786F20"/>
    <w:rsid w:val="0EE83C31"/>
    <w:rsid w:val="15B44A2A"/>
    <w:rsid w:val="16781D3E"/>
    <w:rsid w:val="16CB1E6E"/>
    <w:rsid w:val="18640ACC"/>
    <w:rsid w:val="19324427"/>
    <w:rsid w:val="1CB46F25"/>
    <w:rsid w:val="1CEC39DA"/>
    <w:rsid w:val="1D2862D8"/>
    <w:rsid w:val="1DE764DC"/>
    <w:rsid w:val="222F49F4"/>
    <w:rsid w:val="25E36CE6"/>
    <w:rsid w:val="2782522F"/>
    <w:rsid w:val="2EA4738B"/>
    <w:rsid w:val="3579427A"/>
    <w:rsid w:val="371263D8"/>
    <w:rsid w:val="379F6CD3"/>
    <w:rsid w:val="37A10C9D"/>
    <w:rsid w:val="38B9536D"/>
    <w:rsid w:val="39893797"/>
    <w:rsid w:val="3A9D2F74"/>
    <w:rsid w:val="420C31B7"/>
    <w:rsid w:val="42366486"/>
    <w:rsid w:val="4DCC381C"/>
    <w:rsid w:val="55300A3C"/>
    <w:rsid w:val="55A219DE"/>
    <w:rsid w:val="56691AC1"/>
    <w:rsid w:val="577E46FF"/>
    <w:rsid w:val="58A77AFF"/>
    <w:rsid w:val="594D4389"/>
    <w:rsid w:val="599B3347"/>
    <w:rsid w:val="5A041F9C"/>
    <w:rsid w:val="5CFB0C71"/>
    <w:rsid w:val="5F5A18F2"/>
    <w:rsid w:val="744A3547"/>
    <w:rsid w:val="76985B7A"/>
    <w:rsid w:val="77FE460E"/>
    <w:rsid w:val="78D83F37"/>
    <w:rsid w:val="7EF81A7B"/>
    <w:rsid w:val="7F32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overflowPunct w:val="0"/>
      <w:topLinePunct/>
      <w:spacing w:line="360" w:lineRule="auto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next w:val="4"/>
    <w:qFormat/>
    <w:uiPriority w:val="9"/>
    <w:pPr>
      <w:keepNext/>
      <w:keepLines/>
      <w:numPr>
        <w:ilvl w:val="0"/>
        <w:numId w:val="1"/>
      </w:numPr>
      <w:spacing w:before="340" w:after="330" w:line="578" w:lineRule="auto"/>
      <w:ind w:left="431" w:hanging="431"/>
      <w:outlineLvl w:val="0"/>
    </w:pPr>
    <w:rPr>
      <w:b/>
      <w:bCs/>
      <w:kern w:val="44"/>
      <w:sz w:val="32"/>
      <w:szCs w:val="44"/>
    </w:rPr>
  </w:style>
  <w:style w:type="paragraph" w:styleId="5">
    <w:name w:val="heading 2"/>
    <w:basedOn w:val="1"/>
    <w:next w:val="4"/>
    <w:unhideWhenUsed/>
    <w:qFormat/>
    <w:uiPriority w:val="9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i/>
      <w:sz w:val="18"/>
    </w:rPr>
  </w:style>
  <w:style w:type="paragraph" w:customStyle="1" w:styleId="4">
    <w:name w:val="缩进正文"/>
    <w:basedOn w:val="1"/>
    <w:autoRedefine/>
    <w:qFormat/>
    <w:uiPriority w:val="0"/>
    <w:pPr>
      <w:ind w:firstLine="200" w:firstLineChars="200"/>
      <w:jc w:val="both"/>
    </w:pPr>
  </w:style>
  <w:style w:type="paragraph" w:styleId="6">
    <w:name w:val="Body Text First Indent"/>
    <w:basedOn w:val="2"/>
    <w:qFormat/>
    <w:uiPriority w:val="99"/>
    <w:pPr>
      <w:tabs>
        <w:tab w:val="left" w:pos="420"/>
      </w:tabs>
      <w:autoSpaceDE w:val="0"/>
      <w:autoSpaceDN w:val="0"/>
      <w:adjustRightInd w:val="0"/>
      <w:spacing w:line="360" w:lineRule="auto"/>
      <w:ind w:right="-24" w:rightChars="-10" w:firstLine="425" w:firstLineChars="225"/>
    </w:pPr>
    <w:rPr>
      <w:rFonts w:ascii="Arial" w:hAnsi="Arial" w:eastAsia="仿宋_GB2312"/>
      <w:sz w:val="24"/>
      <w:szCs w:val="32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!BECC正文"/>
    <w:basedOn w:val="1"/>
    <w:autoRedefine/>
    <w:qFormat/>
    <w:uiPriority w:val="0"/>
    <w:pPr>
      <w:tabs>
        <w:tab w:val="left" w:pos="0"/>
      </w:tabs>
      <w:spacing w:beforeLines="50" w:afterLines="50" w:line="360" w:lineRule="auto"/>
      <w:ind w:firstLine="200" w:firstLineChars="200"/>
      <w:contextualSpacing/>
    </w:pPr>
    <w:rPr>
      <w:rFonts w:ascii="Times New Roman" w:hAnsi="Times New Roman"/>
      <w:sz w:val="24"/>
    </w:rPr>
  </w:style>
  <w:style w:type="paragraph" w:customStyle="1" w:styleId="11">
    <w:name w:val="列出段落2"/>
    <w:basedOn w:val="1"/>
    <w:autoRedefine/>
    <w:qFormat/>
    <w:uiPriority w:val="0"/>
    <w:pPr>
      <w:ind w:firstLine="420" w:firstLineChars="200"/>
    </w:pPr>
    <w:rPr>
      <w:kern w:val="0"/>
      <w:sz w:val="20"/>
    </w:rPr>
  </w:style>
  <w:style w:type="character" w:customStyle="1" w:styleId="12">
    <w:name w:val="font61"/>
    <w:basedOn w:val="9"/>
    <w:qFormat/>
    <w:uiPriority w:val="0"/>
    <w:rPr>
      <w:rFonts w:hint="eastAsia" w:ascii="微软雅黑" w:hAnsi="微软雅黑" w:eastAsia="微软雅黑" w:cs="微软雅黑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2961</Words>
  <Characters>3052</Characters>
  <Lines>0</Lines>
  <Paragraphs>0</Paragraphs>
  <TotalTime>0</TotalTime>
  <ScaleCrop>false</ScaleCrop>
  <LinksUpToDate>false</LinksUpToDate>
  <CharactersWithSpaces>3087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2025-07-09T16:38:00Z</dcterms:created>
  <dc:creator>Lo</dc:creator>
  <cp:lastModifiedBy>rongrong</cp:lastModifiedBy>
  <dcterms:modified xsi:type="dcterms:W3CDTF">2025-07-26T00:50:22Z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C5E0591C7B6A455A9633E304A07D54E6_13</vt:lpwstr>
  </property>
  <property fmtid="{D5CDD505-2E9C-101B-9397-08002B2CF9AE}" pid="4" name="KSOTemplateDocerSaveRecord">
    <vt:lpwstr>eyJoZGlkIjoiYTEzMTZkZGIxZjA1MWMzMjExNzRiZjdkODUzMmU4NDAiLCJ1c2VySWQiOiIyNTA4MDQ2NTUifQ==</vt:lpwstr>
  </property>
</Properties>
</file>