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2C7080">
      <w:pPr>
        <w:spacing w:line="360" w:lineRule="auto"/>
        <w:jc w:val="center"/>
        <w:rPr>
          <w:rFonts w:hint="eastAsia" w:ascii="宋体" w:hAnsi="宋体" w:eastAsia="宋体" w:cs="宋体"/>
          <w:b/>
          <w:bCs/>
          <w:color w:val="000000"/>
          <w:sz w:val="30"/>
          <w:szCs w:val="30"/>
          <w:lang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30"/>
          <w:szCs w:val="30"/>
        </w:rPr>
        <w:t>便携式彩色多普勒超声诊断仪</w:t>
      </w:r>
      <w:r>
        <w:rPr>
          <w:rFonts w:hint="eastAsia" w:ascii="宋体" w:hAnsi="宋体" w:eastAsia="宋体" w:cs="宋体"/>
          <w:b/>
          <w:bCs/>
          <w:color w:val="000000"/>
          <w:sz w:val="30"/>
          <w:szCs w:val="30"/>
          <w:lang w:eastAsia="zh-CN"/>
        </w:rPr>
        <w:t>招标参数</w:t>
      </w:r>
    </w:p>
    <w:p w14:paraId="2EF17A56">
      <w:pPr>
        <w:pStyle w:val="20"/>
        <w:numPr>
          <w:ilvl w:val="0"/>
          <w:numId w:val="0"/>
        </w:numPr>
        <w:tabs>
          <w:tab w:val="left" w:pos="426"/>
        </w:tabs>
        <w:spacing w:line="240" w:lineRule="auto"/>
        <w:ind w:leftChars="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一、设备</w:t>
      </w:r>
      <w:r>
        <w:rPr>
          <w:rFonts w:hint="eastAsia" w:ascii="宋体" w:hAnsi="宋体" w:eastAsia="宋体" w:cs="宋体"/>
          <w:sz w:val="24"/>
          <w:szCs w:val="24"/>
        </w:rPr>
        <w:t>名称：</w:t>
      </w:r>
    </w:p>
    <w:p w14:paraId="4E35DDD7">
      <w:pPr>
        <w:pStyle w:val="20"/>
        <w:numPr>
          <w:ilvl w:val="0"/>
          <w:numId w:val="0"/>
        </w:numPr>
        <w:tabs>
          <w:tab w:val="left" w:pos="426"/>
        </w:tabs>
        <w:spacing w:line="240" w:lineRule="auto"/>
        <w:ind w:leftChars="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 xml:space="preserve"> 便携式彩色多普勒超声诊断仪</w:t>
      </w:r>
    </w:p>
    <w:p w14:paraId="66A7BB2D">
      <w:pPr>
        <w:keepNext w:val="0"/>
        <w:keepLines w:val="0"/>
        <w:widowControl/>
        <w:suppressLineNumbers w:val="0"/>
        <w:spacing w:line="240" w:lineRule="auto"/>
        <w:jc w:val="left"/>
        <w:rPr>
          <w:rFonts w:hint="eastAsia" w:ascii="宋体" w:hAnsi="宋体" w:eastAsia="宋体" w:cs="宋体"/>
          <w:color w:val="1D1B11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color w:val="1D1B11"/>
          <w:kern w:val="2"/>
          <w:sz w:val="24"/>
          <w:szCs w:val="24"/>
          <w:lang w:val="en-US" w:eastAsia="zh-CN" w:bidi="ar-SA"/>
        </w:rPr>
        <w:t>2.数量：一套</w:t>
      </w:r>
    </w:p>
    <w:p w14:paraId="5900758B">
      <w:pPr>
        <w:numPr>
          <w:ilvl w:val="0"/>
          <w:numId w:val="0"/>
        </w:numPr>
        <w:tabs>
          <w:tab w:val="left" w:pos="2160"/>
        </w:tabs>
        <w:spacing w:line="240" w:lineRule="auto"/>
        <w:ind w:leftChars="0"/>
        <w:rPr>
          <w:rFonts w:hint="eastAsia"/>
          <w:sz w:val="24"/>
          <w:szCs w:val="24"/>
        </w:rPr>
      </w:pPr>
      <w:r>
        <w:rPr>
          <w:rFonts w:hint="eastAsia" w:ascii="宋体" w:hAnsi="宋体" w:eastAsia="宋体" w:cs="宋体"/>
          <w:color w:val="1D1B11"/>
          <w:kern w:val="2"/>
          <w:sz w:val="24"/>
          <w:szCs w:val="24"/>
          <w:lang w:val="en-US" w:eastAsia="zh-CN" w:bidi="ar-SA"/>
        </w:rPr>
        <w:t>3.用途：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用于心肺功能监测及血流动力学评估应用</w:t>
      </w:r>
    </w:p>
    <w:p w14:paraId="077A43E7">
      <w:pPr>
        <w:spacing w:line="24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eastAsia="zh-CN"/>
        </w:rPr>
        <w:t>二、具体</w:t>
      </w:r>
      <w:r>
        <w:rPr>
          <w:rFonts w:hint="eastAsia"/>
          <w:sz w:val="24"/>
          <w:szCs w:val="24"/>
        </w:rPr>
        <w:t>技术要求</w:t>
      </w:r>
    </w:p>
    <w:p w14:paraId="2688B642">
      <w:pPr>
        <w:spacing w:line="240" w:lineRule="auto"/>
        <w:rPr>
          <w:rFonts w:hint="default" w:eastAsia="宋体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1.技术规格</w:t>
      </w:r>
    </w:p>
    <w:p w14:paraId="2BAA39BB">
      <w:pPr>
        <w:pStyle w:val="18"/>
        <w:spacing w:line="240" w:lineRule="auto"/>
        <w:ind w:left="210" w:leftChars="100" w:firstLine="0" w:firstLineChars="0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1.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 xml:space="preserve">1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≥15英寸高分辨率LED 显示器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，可以支持电量显示功能</w:t>
      </w:r>
    </w:p>
    <w:p w14:paraId="534DEBEB">
      <w:pPr>
        <w:pStyle w:val="18"/>
        <w:spacing w:line="240" w:lineRule="auto"/>
        <w:ind w:left="210" w:leftChars="100" w:firstLine="0" w:firstLineChars="0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1.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 xml:space="preserve">2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显示器可视角度≥1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5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0度 （左/右）</w:t>
      </w:r>
    </w:p>
    <w:p w14:paraId="1C9CEEFC">
      <w:pPr>
        <w:pStyle w:val="18"/>
        <w:spacing w:line="240" w:lineRule="auto"/>
        <w:ind w:left="210" w:leftChars="100" w:firstLine="0" w:firstLineChars="0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1.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 xml:space="preserve">3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系统启动时间：≤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30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秒，从电源启动至检查开始</w:t>
      </w:r>
    </w:p>
    <w:p w14:paraId="505EDFA4">
      <w:pPr>
        <w:pStyle w:val="18"/>
        <w:spacing w:line="240" w:lineRule="auto"/>
        <w:ind w:left="210" w:leftChars="100" w:firstLine="0" w:firstLineChars="0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1.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 xml:space="preserve">4 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轨迹球操作方式</w:t>
      </w:r>
    </w:p>
    <w:p w14:paraId="079B9066">
      <w:pPr>
        <w:pStyle w:val="18"/>
        <w:spacing w:line="240" w:lineRule="auto"/>
        <w:ind w:left="210" w:leftChars="100" w:firstLine="0" w:firstLineChars="0"/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≥12英寸触摸操作屏，按键支持自定义设置，包括移动、增加、删除</w:t>
      </w:r>
    </w:p>
    <w:p w14:paraId="289008B4">
      <w:pPr>
        <w:pStyle w:val="18"/>
        <w:spacing w:line="240" w:lineRule="auto"/>
        <w:ind w:left="210" w:leftChars="100" w:firstLine="0" w:firstLineChars="0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6 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可自定义物理按键≥3个</w:t>
      </w:r>
    </w:p>
    <w:p w14:paraId="1572E572">
      <w:pPr>
        <w:pStyle w:val="18"/>
        <w:spacing w:line="240" w:lineRule="auto"/>
        <w:ind w:left="210" w:leftChars="100" w:firstLine="0" w:firstLineChars="0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7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主机重量≤4kg（含电池）</w:t>
      </w:r>
    </w:p>
    <w:p w14:paraId="2F19ECB6">
      <w:pPr>
        <w:pStyle w:val="18"/>
        <w:spacing w:line="240" w:lineRule="auto"/>
        <w:ind w:left="210" w:leftChars="100" w:firstLine="0" w:firstLineChars="0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1.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8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固态硬盘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≥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256GB</w:t>
      </w:r>
    </w:p>
    <w:p w14:paraId="5FB74B09">
      <w:pPr>
        <w:pStyle w:val="18"/>
        <w:spacing w:line="240" w:lineRule="auto"/>
        <w:ind w:left="210" w:leftChars="100" w:firstLine="0" w:firstLineChars="0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1.9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内置超声教学助手，可用于腹部、心脏及小器官的教学指导</w:t>
      </w:r>
    </w:p>
    <w:p w14:paraId="49B59099">
      <w:pPr>
        <w:pStyle w:val="18"/>
        <w:spacing w:line="240" w:lineRule="auto"/>
        <w:ind w:left="210" w:leftChars="100" w:firstLine="0" w:firstLineChars="0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1.10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可充电锂电池，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连续使用时间≥90分钟</w:t>
      </w:r>
    </w:p>
    <w:p w14:paraId="41A2CB9F">
      <w:pPr>
        <w:pStyle w:val="18"/>
        <w:numPr>
          <w:numId w:val="0"/>
        </w:numPr>
        <w:spacing w:line="240" w:lineRule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成像模式</w:t>
      </w:r>
    </w:p>
    <w:p w14:paraId="09BB58FF">
      <w:pPr>
        <w:pStyle w:val="18"/>
        <w:spacing w:line="240" w:lineRule="auto"/>
        <w:ind w:left="210" w:leftChars="100" w:firstLine="0" w:firstLineChars="0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2.1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 xml:space="preserve"> 支持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二维灰阶模式</w:t>
      </w:r>
    </w:p>
    <w:p w14:paraId="6B46FF27">
      <w:pPr>
        <w:pStyle w:val="18"/>
        <w:spacing w:line="240" w:lineRule="auto"/>
        <w:ind w:left="210" w:leftChars="100" w:firstLine="0" w:firstLineChars="0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2.2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支持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组织谐波成像技术</w:t>
      </w:r>
    </w:p>
    <w:p w14:paraId="524DB6CA">
      <w:pPr>
        <w:pStyle w:val="18"/>
        <w:spacing w:line="240" w:lineRule="auto"/>
        <w:ind w:left="210" w:leftChars="100" w:firstLine="0" w:firstLineChars="0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2.3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支持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穿刺针显影增强技术</w:t>
      </w:r>
    </w:p>
    <w:p w14:paraId="2976A173">
      <w:pPr>
        <w:pStyle w:val="18"/>
        <w:spacing w:line="240" w:lineRule="auto"/>
        <w:ind w:left="210" w:leftChars="100" w:firstLine="0" w:firstLineChars="0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2.4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支持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彩色多普勒模式</w:t>
      </w:r>
    </w:p>
    <w:p w14:paraId="2625D979">
      <w:pPr>
        <w:pStyle w:val="18"/>
        <w:spacing w:line="240" w:lineRule="auto"/>
        <w:ind w:left="210" w:leftChars="100" w:firstLine="0" w:firstLineChars="0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2.5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支持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能量多普勒模式</w:t>
      </w:r>
    </w:p>
    <w:p w14:paraId="430A3ADA">
      <w:pPr>
        <w:pStyle w:val="18"/>
        <w:spacing w:line="240" w:lineRule="auto"/>
        <w:ind w:left="210" w:leftChars="100" w:firstLine="0" w:firstLineChars="0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2.6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支持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脉冲多普勒模式</w:t>
      </w:r>
    </w:p>
    <w:p w14:paraId="6A93975A">
      <w:pPr>
        <w:pStyle w:val="18"/>
        <w:spacing w:line="240" w:lineRule="auto"/>
        <w:ind w:left="210" w:leftChars="100" w:firstLine="0" w:firstLineChars="0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2.7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支持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连续多普勒模式</w:t>
      </w:r>
    </w:p>
    <w:p w14:paraId="6670B2B1">
      <w:pPr>
        <w:pStyle w:val="18"/>
        <w:numPr>
          <w:numId w:val="0"/>
        </w:numPr>
        <w:spacing w:line="240" w:lineRule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3.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B模式成像</w:t>
      </w:r>
    </w:p>
    <w:p w14:paraId="0202CA31">
      <w:pPr>
        <w:spacing w:line="240" w:lineRule="auto"/>
        <w:ind w:leftChars="100"/>
        <w:jc w:val="left"/>
        <w:rPr>
          <w:rFonts w:hint="eastAsia" w:ascii="宋体" w:hAnsi="宋体" w:eastAsia="宋体" w:cs="宋体"/>
          <w:color w:val="1D1B11"/>
          <w:sz w:val="24"/>
          <w:szCs w:val="24"/>
        </w:rPr>
      </w:pPr>
      <w:r>
        <w:rPr>
          <w:rFonts w:hint="eastAsia" w:ascii="宋体" w:hAnsi="宋体" w:eastAsia="宋体" w:cs="宋体"/>
          <w:color w:val="1D1B11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color w:val="1D1B11"/>
          <w:sz w:val="24"/>
          <w:szCs w:val="24"/>
        </w:rPr>
        <w:t>.1</w:t>
      </w:r>
      <w:r>
        <w:rPr>
          <w:rFonts w:hint="eastAsia" w:ascii="宋体" w:hAnsi="宋体" w:eastAsia="宋体" w:cs="宋体"/>
          <w:color w:val="1D1B11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支持</w:t>
      </w:r>
      <w:r>
        <w:rPr>
          <w:rFonts w:hint="eastAsia" w:ascii="宋体" w:hAnsi="宋体" w:eastAsia="宋体" w:cs="宋体"/>
          <w:color w:val="1D1B11"/>
          <w:sz w:val="24"/>
          <w:szCs w:val="24"/>
        </w:rPr>
        <w:t>组织谐波成像模</w:t>
      </w:r>
      <w:bookmarkStart w:id="0" w:name="_GoBack"/>
      <w:bookmarkEnd w:id="0"/>
      <w:r>
        <w:rPr>
          <w:rFonts w:hint="eastAsia" w:ascii="宋体" w:hAnsi="宋体" w:eastAsia="宋体" w:cs="宋体"/>
          <w:color w:val="1D1B11"/>
          <w:sz w:val="24"/>
          <w:szCs w:val="24"/>
        </w:rPr>
        <w:t>式</w:t>
      </w:r>
    </w:p>
    <w:p w14:paraId="07612261">
      <w:pPr>
        <w:spacing w:line="240" w:lineRule="auto"/>
        <w:ind w:leftChars="100"/>
        <w:jc w:val="left"/>
        <w:rPr>
          <w:rFonts w:hint="eastAsia" w:ascii="宋体" w:hAnsi="宋体" w:eastAsia="宋体" w:cs="宋体"/>
          <w:color w:val="1D1B11"/>
          <w:sz w:val="24"/>
          <w:szCs w:val="24"/>
        </w:rPr>
      </w:pPr>
      <w:r>
        <w:rPr>
          <w:rFonts w:hint="eastAsia" w:ascii="宋体" w:hAnsi="宋体" w:eastAsia="宋体" w:cs="宋体"/>
          <w:color w:val="1D1B11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color w:val="1D1B11"/>
          <w:sz w:val="24"/>
          <w:szCs w:val="24"/>
        </w:rPr>
        <w:t>.2</w:t>
      </w:r>
      <w:r>
        <w:rPr>
          <w:rFonts w:hint="eastAsia" w:ascii="宋体" w:hAnsi="宋体" w:eastAsia="宋体" w:cs="宋体"/>
          <w:color w:val="1D1B11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支持</w:t>
      </w:r>
      <w:r>
        <w:rPr>
          <w:rFonts w:hint="eastAsia" w:ascii="宋体" w:hAnsi="宋体" w:eastAsia="宋体" w:cs="宋体"/>
          <w:color w:val="1D1B11"/>
          <w:sz w:val="24"/>
          <w:szCs w:val="24"/>
        </w:rPr>
        <w:t>组织特异性成像</w:t>
      </w:r>
    </w:p>
    <w:p w14:paraId="7B5CE68F">
      <w:pPr>
        <w:spacing w:line="240" w:lineRule="auto"/>
        <w:ind w:leftChars="100"/>
        <w:jc w:val="left"/>
        <w:rPr>
          <w:rFonts w:hint="eastAsia" w:ascii="宋体" w:hAnsi="宋体" w:eastAsia="宋体" w:cs="宋体"/>
          <w:color w:val="1D1B11"/>
          <w:sz w:val="24"/>
          <w:szCs w:val="24"/>
        </w:rPr>
      </w:pPr>
      <w:r>
        <w:rPr>
          <w:rFonts w:hint="eastAsia" w:ascii="宋体" w:hAnsi="宋体" w:eastAsia="宋体" w:cs="宋体"/>
          <w:color w:val="1D1B11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color w:val="1D1B11"/>
          <w:sz w:val="24"/>
          <w:szCs w:val="24"/>
        </w:rPr>
        <w:t>.3</w:t>
      </w:r>
      <w:r>
        <w:rPr>
          <w:rFonts w:hint="eastAsia" w:ascii="宋体" w:hAnsi="宋体" w:eastAsia="宋体" w:cs="宋体"/>
          <w:color w:val="1D1B11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支持</w:t>
      </w:r>
      <w:r>
        <w:rPr>
          <w:rFonts w:hint="eastAsia" w:ascii="宋体" w:hAnsi="宋体" w:eastAsia="宋体" w:cs="宋体"/>
          <w:color w:val="1D1B11"/>
          <w:sz w:val="24"/>
          <w:szCs w:val="24"/>
        </w:rPr>
        <w:t>多角度空间复合成像技术，≥3条偏转线，多级可调</w:t>
      </w:r>
    </w:p>
    <w:p w14:paraId="1FA3DFCE">
      <w:pPr>
        <w:spacing w:line="240" w:lineRule="auto"/>
        <w:ind w:leftChars="100"/>
        <w:jc w:val="left"/>
        <w:rPr>
          <w:rFonts w:hint="eastAsia" w:ascii="宋体" w:hAnsi="宋体" w:eastAsia="宋体" w:cs="宋体"/>
          <w:color w:val="1D1B11"/>
          <w:sz w:val="24"/>
          <w:szCs w:val="24"/>
        </w:rPr>
      </w:pPr>
      <w:r>
        <w:rPr>
          <w:rFonts w:hint="eastAsia" w:ascii="宋体" w:hAnsi="宋体" w:eastAsia="宋体" w:cs="宋体"/>
          <w:color w:val="1D1B11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color w:val="1D1B11"/>
          <w:sz w:val="24"/>
          <w:szCs w:val="24"/>
        </w:rPr>
        <w:t>.4</w:t>
      </w:r>
      <w:r>
        <w:rPr>
          <w:rFonts w:hint="eastAsia" w:ascii="宋体" w:hAnsi="宋体" w:eastAsia="宋体" w:cs="宋体"/>
          <w:color w:val="1D1B11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支持</w:t>
      </w:r>
      <w:r>
        <w:rPr>
          <w:rFonts w:hint="eastAsia" w:ascii="宋体" w:hAnsi="宋体" w:eastAsia="宋体" w:cs="宋体"/>
          <w:color w:val="1D1B11"/>
          <w:sz w:val="24"/>
          <w:szCs w:val="24"/>
        </w:rPr>
        <w:t>斑点噪声抑制成像</w:t>
      </w:r>
    </w:p>
    <w:p w14:paraId="6CAA1489">
      <w:pPr>
        <w:spacing w:line="240" w:lineRule="auto"/>
        <w:ind w:leftChars="100"/>
        <w:jc w:val="left"/>
        <w:rPr>
          <w:rFonts w:hint="eastAsia" w:ascii="宋体" w:hAnsi="宋体" w:eastAsia="宋体" w:cs="宋体"/>
          <w:color w:val="1D1B11"/>
          <w:sz w:val="24"/>
          <w:szCs w:val="24"/>
        </w:rPr>
      </w:pPr>
      <w:r>
        <w:rPr>
          <w:rFonts w:hint="eastAsia" w:ascii="宋体" w:hAnsi="宋体" w:eastAsia="宋体" w:cs="宋体"/>
          <w:color w:val="1D1B11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color w:val="1D1B11"/>
          <w:sz w:val="24"/>
          <w:szCs w:val="24"/>
        </w:rPr>
        <w:t>.5</w:t>
      </w:r>
      <w:r>
        <w:rPr>
          <w:rFonts w:hint="eastAsia" w:ascii="宋体" w:hAnsi="宋体" w:eastAsia="宋体" w:cs="宋体"/>
          <w:color w:val="1D1B11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>▲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支持</w:t>
      </w:r>
      <w:r>
        <w:rPr>
          <w:rFonts w:hint="eastAsia" w:ascii="宋体" w:hAnsi="宋体" w:eastAsia="宋体" w:cs="宋体"/>
          <w:color w:val="1D1B11"/>
          <w:sz w:val="24"/>
          <w:szCs w:val="24"/>
        </w:rPr>
        <w:t>回波增强技术，提高心脏图像质量</w:t>
      </w:r>
    </w:p>
    <w:p w14:paraId="0910F9AB">
      <w:pPr>
        <w:pStyle w:val="18"/>
        <w:numPr>
          <w:numId w:val="0"/>
        </w:numPr>
        <w:spacing w:line="240" w:lineRule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4.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彩色多普勒成像（包括彩色、能量、方向能量多普勒模式）</w:t>
      </w:r>
    </w:p>
    <w:p w14:paraId="79699027">
      <w:pPr>
        <w:spacing w:line="240" w:lineRule="auto"/>
        <w:ind w:leftChars="100"/>
        <w:jc w:val="left"/>
        <w:rPr>
          <w:rFonts w:hint="eastAsia" w:ascii="宋体" w:hAnsi="宋体" w:eastAsia="宋体" w:cs="宋体"/>
          <w:color w:val="1D1B11"/>
          <w:sz w:val="24"/>
          <w:szCs w:val="24"/>
        </w:rPr>
      </w:pPr>
      <w:r>
        <w:rPr>
          <w:rFonts w:hint="eastAsia" w:ascii="宋体" w:hAnsi="宋体" w:eastAsia="宋体" w:cs="宋体"/>
          <w:color w:val="1D1B11"/>
          <w:sz w:val="24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color w:val="1D1B11"/>
          <w:sz w:val="24"/>
          <w:szCs w:val="24"/>
        </w:rPr>
        <w:t>.1</w:t>
      </w:r>
      <w:r>
        <w:rPr>
          <w:rFonts w:hint="eastAsia" w:ascii="宋体" w:hAnsi="宋体" w:eastAsia="宋体" w:cs="宋体"/>
          <w:color w:val="1D1B11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>▲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支持</w:t>
      </w:r>
      <w:r>
        <w:rPr>
          <w:rFonts w:hint="eastAsia" w:ascii="宋体" w:hAnsi="宋体" w:eastAsia="宋体" w:cs="宋体"/>
          <w:color w:val="1D1B11"/>
          <w:sz w:val="24"/>
          <w:szCs w:val="24"/>
        </w:rPr>
        <w:t>高分辨率血流成像</w:t>
      </w:r>
    </w:p>
    <w:p w14:paraId="3B961ACF">
      <w:pPr>
        <w:spacing w:line="240" w:lineRule="auto"/>
        <w:ind w:leftChars="100"/>
        <w:jc w:val="left"/>
        <w:rPr>
          <w:rFonts w:hint="eastAsia" w:ascii="宋体" w:hAnsi="宋体" w:eastAsia="宋体" w:cs="宋体"/>
          <w:color w:val="1D1B11"/>
          <w:sz w:val="24"/>
          <w:szCs w:val="24"/>
        </w:rPr>
      </w:pPr>
      <w:r>
        <w:rPr>
          <w:rFonts w:hint="eastAsia" w:ascii="宋体" w:hAnsi="宋体" w:eastAsia="宋体" w:cs="宋体"/>
          <w:color w:val="1D1B11"/>
          <w:sz w:val="24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color w:val="1D1B11"/>
          <w:sz w:val="24"/>
          <w:szCs w:val="24"/>
        </w:rPr>
        <w:t>.2</w:t>
      </w:r>
      <w:r>
        <w:rPr>
          <w:rFonts w:hint="eastAsia" w:ascii="宋体" w:hAnsi="宋体" w:eastAsia="宋体" w:cs="宋体"/>
          <w:color w:val="1D1B11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支持</w:t>
      </w:r>
      <w:r>
        <w:rPr>
          <w:rFonts w:hint="eastAsia" w:ascii="宋体" w:hAnsi="宋体" w:eastAsia="宋体" w:cs="宋体"/>
          <w:color w:val="1D1B11"/>
          <w:sz w:val="24"/>
          <w:szCs w:val="24"/>
        </w:rPr>
        <w:t>双实时同屏对比显示</w:t>
      </w:r>
    </w:p>
    <w:p w14:paraId="3272457F">
      <w:pPr>
        <w:spacing w:line="240" w:lineRule="auto"/>
        <w:ind w:leftChars="100"/>
        <w:rPr>
          <w:rFonts w:hint="eastAsia" w:ascii="宋体" w:hAnsi="宋体" w:eastAsia="宋体" w:cs="宋体"/>
          <w:color w:val="1D1B11"/>
          <w:sz w:val="24"/>
          <w:szCs w:val="24"/>
        </w:rPr>
      </w:pPr>
      <w:r>
        <w:rPr>
          <w:rFonts w:hint="eastAsia" w:ascii="宋体" w:hAnsi="宋体" w:eastAsia="宋体" w:cs="宋体"/>
          <w:color w:val="1D1B11"/>
          <w:sz w:val="24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color w:val="1D1B11"/>
          <w:sz w:val="24"/>
          <w:szCs w:val="24"/>
        </w:rPr>
        <w:t>.3</w:t>
      </w:r>
      <w:r>
        <w:rPr>
          <w:rFonts w:hint="eastAsia" w:ascii="宋体" w:hAnsi="宋体" w:eastAsia="宋体" w:cs="宋体"/>
          <w:color w:val="1D1B11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支持</w:t>
      </w:r>
      <w:r>
        <w:rPr>
          <w:rFonts w:hint="eastAsia" w:ascii="宋体" w:hAnsi="宋体" w:eastAsia="宋体" w:cs="宋体"/>
          <w:color w:val="1D1B11"/>
          <w:sz w:val="24"/>
          <w:szCs w:val="24"/>
        </w:rPr>
        <w:t>自动调节取样框的角度及位置</w:t>
      </w:r>
    </w:p>
    <w:p w14:paraId="74A3A098">
      <w:pPr>
        <w:pStyle w:val="18"/>
        <w:numPr>
          <w:numId w:val="0"/>
        </w:numPr>
        <w:spacing w:line="240" w:lineRule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5.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频谱多普勒成像</w:t>
      </w:r>
    </w:p>
    <w:p w14:paraId="1EBBDB91">
      <w:pPr>
        <w:spacing w:line="240" w:lineRule="auto"/>
        <w:ind w:leftChars="100"/>
        <w:jc w:val="left"/>
        <w:rPr>
          <w:rFonts w:hint="eastAsia" w:ascii="宋体" w:hAnsi="宋体" w:eastAsia="宋体" w:cs="宋体"/>
          <w:color w:val="1D1B11"/>
          <w:sz w:val="24"/>
          <w:szCs w:val="24"/>
        </w:rPr>
      </w:pPr>
      <w:r>
        <w:rPr>
          <w:rFonts w:hint="eastAsia" w:ascii="宋体" w:hAnsi="宋体" w:eastAsia="宋体" w:cs="宋体"/>
          <w:color w:val="1D1B11"/>
          <w:sz w:val="24"/>
          <w:szCs w:val="24"/>
          <w:lang w:val="en-US" w:eastAsia="zh-CN"/>
        </w:rPr>
        <w:t>5</w:t>
      </w:r>
      <w:r>
        <w:rPr>
          <w:rFonts w:hint="eastAsia" w:ascii="宋体" w:hAnsi="宋体" w:eastAsia="宋体" w:cs="宋体"/>
          <w:color w:val="1D1B11"/>
          <w:sz w:val="24"/>
          <w:szCs w:val="24"/>
        </w:rPr>
        <w:t>.1</w:t>
      </w:r>
      <w:r>
        <w:rPr>
          <w:rFonts w:hint="eastAsia" w:ascii="宋体" w:hAnsi="宋体" w:eastAsia="宋体" w:cs="宋体"/>
          <w:color w:val="1D1B11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1D1B11"/>
          <w:sz w:val="24"/>
          <w:szCs w:val="24"/>
        </w:rPr>
        <w:t>脉冲多普勒、高脉冲重复频率</w:t>
      </w:r>
    </w:p>
    <w:p w14:paraId="27502E66">
      <w:pPr>
        <w:spacing w:line="240" w:lineRule="auto"/>
        <w:ind w:leftChars="100"/>
        <w:jc w:val="left"/>
        <w:rPr>
          <w:rFonts w:hint="eastAsia" w:ascii="宋体" w:hAnsi="宋体" w:eastAsia="宋体" w:cs="宋体"/>
          <w:color w:val="1D1B11"/>
          <w:sz w:val="24"/>
          <w:szCs w:val="24"/>
        </w:rPr>
      </w:pPr>
      <w:r>
        <w:rPr>
          <w:rFonts w:hint="eastAsia" w:ascii="宋体" w:hAnsi="宋体" w:eastAsia="宋体" w:cs="宋体"/>
          <w:color w:val="1D1B11"/>
          <w:sz w:val="24"/>
          <w:szCs w:val="24"/>
          <w:lang w:val="en-US" w:eastAsia="zh-CN"/>
        </w:rPr>
        <w:t>5</w:t>
      </w:r>
      <w:r>
        <w:rPr>
          <w:rFonts w:hint="eastAsia" w:ascii="宋体" w:hAnsi="宋体" w:eastAsia="宋体" w:cs="宋体"/>
          <w:color w:val="1D1B11"/>
          <w:sz w:val="24"/>
          <w:szCs w:val="24"/>
        </w:rPr>
        <w:t>.2</w:t>
      </w:r>
      <w:r>
        <w:rPr>
          <w:rFonts w:hint="eastAsia" w:ascii="宋体" w:hAnsi="宋体" w:eastAsia="宋体" w:cs="宋体"/>
          <w:color w:val="1D1B11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支持</w:t>
      </w:r>
      <w:r>
        <w:rPr>
          <w:rFonts w:hint="eastAsia" w:ascii="宋体" w:hAnsi="宋体" w:eastAsia="宋体" w:cs="宋体"/>
          <w:color w:val="1D1B11"/>
          <w:sz w:val="24"/>
          <w:szCs w:val="24"/>
        </w:rPr>
        <w:t>连续多普勒</w:t>
      </w:r>
    </w:p>
    <w:p w14:paraId="3AFDF268">
      <w:pPr>
        <w:pStyle w:val="18"/>
        <w:numPr>
          <w:numId w:val="0"/>
        </w:numPr>
        <w:spacing w:line="240" w:lineRule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6.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探头配置</w:t>
      </w:r>
    </w:p>
    <w:p w14:paraId="5852E085">
      <w:pPr>
        <w:pStyle w:val="18"/>
        <w:spacing w:line="240" w:lineRule="auto"/>
        <w:ind w:left="210" w:leftChars="100" w:firstLine="0" w:firstLineChars="0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.1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 xml:space="preserve"> 凸阵探头，频率范围：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≥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1.5-5.0MHz</w:t>
      </w:r>
    </w:p>
    <w:p w14:paraId="3287A2B2">
      <w:pPr>
        <w:pStyle w:val="18"/>
        <w:spacing w:line="240" w:lineRule="auto"/>
        <w:ind w:left="210" w:leftChars="100" w:firstLine="0" w:firstLineChars="0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6.2 线阵探头，频率范围：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≥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3.0-12MHz</w:t>
      </w:r>
    </w:p>
    <w:p w14:paraId="2D015563">
      <w:pPr>
        <w:pStyle w:val="18"/>
        <w:numPr>
          <w:numId w:val="0"/>
        </w:numPr>
        <w:spacing w:line="240" w:lineRule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7.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连通性和数据管理</w:t>
      </w:r>
    </w:p>
    <w:p w14:paraId="7A366D50">
      <w:pPr>
        <w:pStyle w:val="18"/>
        <w:spacing w:line="240" w:lineRule="auto"/>
        <w:ind w:left="0" w:leftChars="0" w:firstLine="0" w:firstLineChars="0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7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.1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具备DICOM功能，可通过网络将图像传输到服务器</w:t>
      </w:r>
    </w:p>
    <w:p w14:paraId="61FB7E89">
      <w:pPr>
        <w:pStyle w:val="18"/>
        <w:spacing w:line="240" w:lineRule="auto"/>
        <w:ind w:left="0" w:leftChars="0" w:firstLine="0" w:firstLineChars="0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7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 xml:space="preserve">.2 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≥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4个USB 3.0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接口</w:t>
      </w:r>
    </w:p>
    <w:p w14:paraId="7B89BFE6">
      <w:pPr>
        <w:pStyle w:val="18"/>
        <w:spacing w:line="240" w:lineRule="auto"/>
        <w:ind w:left="0" w:leftChars="0" w:firstLine="0" w:firstLineChars="0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7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.3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内置无线网卡，可一键将动图像传输至移动应用端群组内</w:t>
      </w:r>
    </w:p>
    <w:p w14:paraId="5840B632">
      <w:pPr>
        <w:pStyle w:val="20"/>
        <w:numPr>
          <w:ilvl w:val="0"/>
          <w:numId w:val="0"/>
        </w:numPr>
        <w:spacing w:line="240" w:lineRule="auto"/>
        <w:ind w:leftChars="0"/>
        <w:jc w:val="left"/>
        <w:rPr>
          <w:rFonts w:hint="eastAsia" w:ascii="宋体" w:hAnsi="宋体" w:eastAsia="宋体" w:cs="宋体"/>
          <w:color w:val="1E1C11"/>
          <w:sz w:val="24"/>
          <w:szCs w:val="24"/>
        </w:rPr>
      </w:pPr>
      <w:r>
        <w:rPr>
          <w:rFonts w:hint="eastAsia" w:ascii="宋体" w:hAnsi="宋体" w:cs="宋体"/>
          <w:color w:val="1E1C11"/>
          <w:sz w:val="24"/>
          <w:szCs w:val="24"/>
          <w:lang w:val="en-US" w:eastAsia="zh-CN"/>
        </w:rPr>
        <w:t>三、其他</w:t>
      </w:r>
    </w:p>
    <w:p w14:paraId="3E649459">
      <w:pPr>
        <w:numPr>
          <w:ilvl w:val="0"/>
          <w:numId w:val="0"/>
        </w:numPr>
        <w:spacing w:line="240" w:lineRule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1、整机原厂质保≥5年。</w:t>
      </w:r>
    </w:p>
    <w:p w14:paraId="6ECDED72">
      <w:pPr>
        <w:numPr>
          <w:ilvl w:val="0"/>
          <w:numId w:val="0"/>
        </w:numPr>
        <w:spacing w:line="24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2、付款方式：</w:t>
      </w:r>
      <w:r>
        <w:rPr>
          <w:rFonts w:hint="eastAsia" w:ascii="宋体" w:hAnsi="宋体" w:eastAsia="宋体" w:cs="宋体"/>
          <w:color w:val="auto"/>
          <w:sz w:val="24"/>
          <w:szCs w:val="24"/>
          <w:u w:val="none"/>
        </w:rPr>
        <w:t>设备安装</w:t>
      </w:r>
      <w:r>
        <w:rPr>
          <w:rFonts w:hint="eastAsia" w:ascii="宋体" w:hAnsi="宋体" w:eastAsia="宋体" w:cs="宋体"/>
          <w:color w:val="auto"/>
          <w:sz w:val="24"/>
          <w:szCs w:val="24"/>
          <w:u w:val="none"/>
          <w:lang w:eastAsia="zh-Hans"/>
        </w:rPr>
        <w:t>完毕经甲方</w:t>
      </w:r>
      <w:r>
        <w:rPr>
          <w:rFonts w:hint="eastAsia" w:ascii="宋体" w:hAnsi="宋体" w:eastAsia="宋体" w:cs="宋体"/>
          <w:color w:val="auto"/>
          <w:sz w:val="24"/>
          <w:szCs w:val="24"/>
          <w:u w:val="none"/>
        </w:rPr>
        <w:t>验收合格后付全款的90%，余10%尾款验收合格</w:t>
      </w:r>
      <w:r>
        <w:rPr>
          <w:rFonts w:hint="eastAsia" w:ascii="宋体" w:hAnsi="宋体" w:eastAsia="宋体" w:cs="宋体"/>
          <w:color w:val="auto"/>
          <w:sz w:val="24"/>
          <w:szCs w:val="24"/>
          <w:u w:val="none"/>
          <w:lang w:val="en-US" w:eastAsia="zh-CN"/>
        </w:rPr>
        <w:t>12个月</w:t>
      </w:r>
      <w:r>
        <w:rPr>
          <w:rFonts w:hint="eastAsia" w:ascii="宋体" w:hAnsi="宋体" w:eastAsia="宋体" w:cs="宋体"/>
          <w:color w:val="auto"/>
          <w:sz w:val="24"/>
          <w:szCs w:val="24"/>
          <w:u w:val="none"/>
        </w:rPr>
        <w:t>后无质量及其他问题付清。</w:t>
      </w:r>
    </w:p>
    <w:p w14:paraId="49D57FC3">
      <w:pPr>
        <w:pStyle w:val="18"/>
        <w:spacing w:line="360" w:lineRule="auto"/>
        <w:rPr>
          <w:rFonts w:asciiTheme="minorEastAsia" w:hAnsiTheme="minorEastAsia" w:eastAsiaTheme="minorEastAsia"/>
          <w:color w:val="000000"/>
          <w:szCs w:val="21"/>
        </w:rPr>
      </w:pPr>
      <w:r>
        <w:rPr>
          <w:rFonts w:asciiTheme="minorEastAsia" w:hAnsiTheme="minorEastAsia" w:eastAsiaTheme="minorEastAsia"/>
          <w:color w:val="000000"/>
          <w:szCs w:val="21"/>
        </w:rPr>
        <w:t xml:space="preserve"> </w:t>
      </w:r>
      <w:r>
        <w:rPr>
          <w:rFonts w:hint="eastAsia" w:asciiTheme="minorEastAsia" w:hAnsiTheme="minorEastAsia" w:eastAsiaTheme="minorEastAsia"/>
          <w:color w:val="000000"/>
          <w:szCs w:val="21"/>
          <w:lang w:val="en-US" w:eastAsia="zh-CN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g2MDcwMzEzZDFlOWQxOTVmZDFlNDM1MjFhMDAwNDEifQ=="/>
  </w:docVars>
  <w:rsids>
    <w:rsidRoot w:val="00F248E7"/>
    <w:rsid w:val="000D15E7"/>
    <w:rsid w:val="000E66AF"/>
    <w:rsid w:val="00186FEA"/>
    <w:rsid w:val="00194AFE"/>
    <w:rsid w:val="001C2CC6"/>
    <w:rsid w:val="001C53F1"/>
    <w:rsid w:val="003331D9"/>
    <w:rsid w:val="00372301"/>
    <w:rsid w:val="0039756D"/>
    <w:rsid w:val="004D6424"/>
    <w:rsid w:val="007479A6"/>
    <w:rsid w:val="007B0566"/>
    <w:rsid w:val="007C3614"/>
    <w:rsid w:val="007F6072"/>
    <w:rsid w:val="00835C75"/>
    <w:rsid w:val="00866753"/>
    <w:rsid w:val="008A3228"/>
    <w:rsid w:val="008E5522"/>
    <w:rsid w:val="00952E33"/>
    <w:rsid w:val="009B32F2"/>
    <w:rsid w:val="00A27F51"/>
    <w:rsid w:val="00A87D78"/>
    <w:rsid w:val="00AA342B"/>
    <w:rsid w:val="00B06AD6"/>
    <w:rsid w:val="00B85163"/>
    <w:rsid w:val="00B95C8C"/>
    <w:rsid w:val="00C47B72"/>
    <w:rsid w:val="00C52D53"/>
    <w:rsid w:val="00C62302"/>
    <w:rsid w:val="00C634BD"/>
    <w:rsid w:val="00CC063D"/>
    <w:rsid w:val="00D12B46"/>
    <w:rsid w:val="00D65537"/>
    <w:rsid w:val="00DB0662"/>
    <w:rsid w:val="00DD2C8C"/>
    <w:rsid w:val="00E94491"/>
    <w:rsid w:val="00EB6CF5"/>
    <w:rsid w:val="00F248E7"/>
    <w:rsid w:val="00F63161"/>
    <w:rsid w:val="00FF19ED"/>
    <w:rsid w:val="0A6B61E2"/>
    <w:rsid w:val="0AB24D72"/>
    <w:rsid w:val="0CF948CC"/>
    <w:rsid w:val="10342185"/>
    <w:rsid w:val="11D95B65"/>
    <w:rsid w:val="12155FE6"/>
    <w:rsid w:val="14BE16BC"/>
    <w:rsid w:val="1AE67F2F"/>
    <w:rsid w:val="211B35A5"/>
    <w:rsid w:val="25BB3331"/>
    <w:rsid w:val="26745AFB"/>
    <w:rsid w:val="29330717"/>
    <w:rsid w:val="29EE1F74"/>
    <w:rsid w:val="3552533D"/>
    <w:rsid w:val="35BF567A"/>
    <w:rsid w:val="41175B2C"/>
    <w:rsid w:val="415B010F"/>
    <w:rsid w:val="452777A0"/>
    <w:rsid w:val="46E71E07"/>
    <w:rsid w:val="476B4DA3"/>
    <w:rsid w:val="48805E95"/>
    <w:rsid w:val="4C59349D"/>
    <w:rsid w:val="4E1E04DF"/>
    <w:rsid w:val="511017F2"/>
    <w:rsid w:val="57EC0D14"/>
    <w:rsid w:val="5B090845"/>
    <w:rsid w:val="615A7643"/>
    <w:rsid w:val="61B54878"/>
    <w:rsid w:val="6E156C17"/>
    <w:rsid w:val="6F0940C6"/>
    <w:rsid w:val="752B5392"/>
    <w:rsid w:val="79AB2CDA"/>
    <w:rsid w:val="7AAA4D40"/>
    <w:rsid w:val="7BBF7F62"/>
    <w:rsid w:val="B5FF70B1"/>
    <w:rsid w:val="B7F96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99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3"/>
    <w:qFormat/>
    <w:uiPriority w:val="99"/>
    <w:pPr>
      <w:keepNext/>
      <w:widowControl/>
      <w:jc w:val="left"/>
      <w:outlineLvl w:val="0"/>
    </w:pPr>
    <w:rPr>
      <w:b/>
      <w:bCs/>
      <w:kern w:val="0"/>
      <w:sz w:val="24"/>
      <w:u w:val="single"/>
      <w:lang w:eastAsia="en-US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9"/>
    <w:qFormat/>
    <w:uiPriority w:val="0"/>
    <w:pPr>
      <w:jc w:val="left"/>
    </w:pPr>
    <w:rPr>
      <w:szCs w:val="20"/>
    </w:rPr>
  </w:style>
  <w:style w:type="paragraph" w:styleId="4">
    <w:name w:val="Body Text"/>
    <w:basedOn w:val="1"/>
    <w:link w:val="15"/>
    <w:qFormat/>
    <w:uiPriority w:val="99"/>
    <w:pPr>
      <w:spacing w:after="120"/>
    </w:pPr>
  </w:style>
  <w:style w:type="paragraph" w:styleId="5">
    <w:name w:val="Body Text Indent"/>
    <w:basedOn w:val="1"/>
    <w:link w:val="14"/>
    <w:qFormat/>
    <w:uiPriority w:val="99"/>
    <w:pPr>
      <w:ind w:left="1680"/>
    </w:pPr>
    <w:rPr>
      <w:sz w:val="28"/>
    </w:rPr>
  </w:style>
  <w:style w:type="paragraph" w:styleId="6">
    <w:name w:val="Balloon Text"/>
    <w:basedOn w:val="1"/>
    <w:link w:val="21"/>
    <w:qFormat/>
    <w:uiPriority w:val="0"/>
    <w:rPr>
      <w:sz w:val="18"/>
      <w:szCs w:val="18"/>
    </w:rPr>
  </w:style>
  <w:style w:type="paragraph" w:styleId="7">
    <w:name w:val="footer"/>
    <w:basedOn w:val="1"/>
    <w:link w:val="1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6"/>
    <w:autoRedefine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11">
    <w:name w:val="Strong"/>
    <w:basedOn w:val="10"/>
    <w:autoRedefine/>
    <w:qFormat/>
    <w:uiPriority w:val="99"/>
    <w:rPr>
      <w:rFonts w:cs="Times New Roman"/>
      <w:b/>
      <w:bCs/>
    </w:rPr>
  </w:style>
  <w:style w:type="character" w:styleId="12">
    <w:name w:val="annotation reference"/>
    <w:basedOn w:val="10"/>
    <w:qFormat/>
    <w:uiPriority w:val="0"/>
    <w:rPr>
      <w:sz w:val="21"/>
      <w:szCs w:val="21"/>
    </w:rPr>
  </w:style>
  <w:style w:type="character" w:customStyle="1" w:styleId="13">
    <w:name w:val="标题 1 字符"/>
    <w:basedOn w:val="10"/>
    <w:link w:val="2"/>
    <w:qFormat/>
    <w:uiPriority w:val="99"/>
    <w:rPr>
      <w:rFonts w:cs="Times New Roman"/>
      <w:b/>
      <w:bCs/>
      <w:kern w:val="44"/>
      <w:sz w:val="44"/>
      <w:szCs w:val="44"/>
    </w:rPr>
  </w:style>
  <w:style w:type="character" w:customStyle="1" w:styleId="14">
    <w:name w:val="正文文本缩进 字符"/>
    <w:basedOn w:val="10"/>
    <w:link w:val="5"/>
    <w:qFormat/>
    <w:uiPriority w:val="99"/>
    <w:rPr>
      <w:rFonts w:cs="Times New Roman"/>
      <w:sz w:val="24"/>
      <w:szCs w:val="24"/>
    </w:rPr>
  </w:style>
  <w:style w:type="character" w:customStyle="1" w:styleId="15">
    <w:name w:val="正文文本 字符"/>
    <w:basedOn w:val="10"/>
    <w:link w:val="4"/>
    <w:autoRedefine/>
    <w:qFormat/>
    <w:uiPriority w:val="99"/>
    <w:rPr>
      <w:rFonts w:cs="Times New Roman"/>
      <w:sz w:val="24"/>
      <w:szCs w:val="24"/>
    </w:rPr>
  </w:style>
  <w:style w:type="character" w:customStyle="1" w:styleId="16">
    <w:name w:val="页眉 字符"/>
    <w:basedOn w:val="10"/>
    <w:link w:val="8"/>
    <w:qFormat/>
    <w:uiPriority w:val="99"/>
    <w:rPr>
      <w:rFonts w:cs="Times New Roman"/>
      <w:kern w:val="2"/>
      <w:sz w:val="18"/>
      <w:szCs w:val="18"/>
    </w:rPr>
  </w:style>
  <w:style w:type="character" w:customStyle="1" w:styleId="17">
    <w:name w:val="页脚 字符"/>
    <w:basedOn w:val="10"/>
    <w:link w:val="7"/>
    <w:qFormat/>
    <w:uiPriority w:val="99"/>
    <w:rPr>
      <w:rFonts w:cs="Times New Roman"/>
      <w:kern w:val="2"/>
      <w:sz w:val="18"/>
      <w:szCs w:val="18"/>
    </w:rPr>
  </w:style>
  <w:style w:type="paragraph" w:customStyle="1" w:styleId="18">
    <w:name w:val="列出段落1"/>
    <w:basedOn w:val="1"/>
    <w:qFormat/>
    <w:uiPriority w:val="34"/>
    <w:pPr>
      <w:ind w:firstLine="420" w:firstLineChars="200"/>
    </w:pPr>
  </w:style>
  <w:style w:type="character" w:customStyle="1" w:styleId="19">
    <w:name w:val="批注文字 字符"/>
    <w:basedOn w:val="10"/>
    <w:link w:val="3"/>
    <w:qFormat/>
    <w:uiPriority w:val="0"/>
    <w:rPr>
      <w:kern w:val="2"/>
      <w:sz w:val="21"/>
    </w:rPr>
  </w:style>
  <w:style w:type="paragraph" w:styleId="20">
    <w:name w:val="List Paragraph"/>
    <w:basedOn w:val="1"/>
    <w:qFormat/>
    <w:uiPriority w:val="34"/>
    <w:pPr>
      <w:ind w:firstLine="420" w:firstLineChars="200"/>
    </w:pPr>
    <w:rPr>
      <w:szCs w:val="20"/>
    </w:rPr>
  </w:style>
  <w:style w:type="character" w:customStyle="1" w:styleId="21">
    <w:name w:val="批注框文本 字符"/>
    <w:basedOn w:val="10"/>
    <w:link w:val="6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RYD</Company>
  <Pages>2</Pages>
  <Words>844</Words>
  <Characters>980</Characters>
  <Lines>10</Lines>
  <Paragraphs>3</Paragraphs>
  <TotalTime>2</TotalTime>
  <ScaleCrop>false</ScaleCrop>
  <LinksUpToDate>false</LinksUpToDate>
  <CharactersWithSpaces>1057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2020-11-05T06:31:00Z</dcterms:created>
  <dc:creator>chenweiguo</dc:creator>
  <cp:lastModifiedBy>楚江千里碧水晗</cp:lastModifiedBy>
  <cp:lastPrinted>2015-07-02T16:21:00Z</cp:lastPrinted>
  <dcterms:modified xsi:type="dcterms:W3CDTF">2025-12-09T07:08:39Z</dcterms:modified>
  <dc:title>技术规格及要求</dc:title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3D99D2E8112A40A1B000564753CB8695</vt:lpwstr>
  </property>
  <property fmtid="{D5CDD505-2E9C-101B-9397-08002B2CF9AE}" pid="4" name="KSOTemplateDocerSaveRecord">
    <vt:lpwstr>eyJoZGlkIjoiZDFhYTA5MTQ2Yjg0NTZiZTlmYzg0ZDEyMzYxZjU4YmUiLCJ1c2VySWQiOiIyMTY4NTEyNSJ9</vt:lpwstr>
  </property>
</Properties>
</file>