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50ECF0">
      <w:pPr>
        <w:jc w:val="center"/>
        <w:rPr>
          <w:rFonts w:hint="eastAsia" w:ascii="宋体" w:hAnsi="宋体"/>
          <w:b/>
          <w:sz w:val="44"/>
          <w:szCs w:val="44"/>
          <w:lang w:val="zh-CN"/>
        </w:rPr>
      </w:pPr>
      <w:r>
        <w:rPr>
          <w:rFonts w:hint="eastAsia" w:ascii="宋体" w:hAnsi="宋体"/>
          <w:b/>
          <w:sz w:val="44"/>
          <w:szCs w:val="44"/>
          <w:lang w:val="zh-CN"/>
        </w:rPr>
        <w:t>江苏省第二中医院超融合平台扩容项目</w:t>
      </w:r>
    </w:p>
    <w:p w14:paraId="3E9E9EA3">
      <w:pPr>
        <w:jc w:val="center"/>
        <w:rPr>
          <w:rFonts w:ascii="宋体" w:hAnsi="宋体"/>
          <w:color w:val="000000"/>
          <w:sz w:val="44"/>
          <w:szCs w:val="44"/>
          <w:lang w:val="zh-CN"/>
        </w:rPr>
      </w:pPr>
      <w:r>
        <w:rPr>
          <w:rFonts w:hint="eastAsia" w:ascii="宋体" w:hAnsi="宋体"/>
          <w:b/>
          <w:sz w:val="44"/>
          <w:szCs w:val="44"/>
          <w:lang w:val="zh-CN"/>
        </w:rPr>
        <w:t>调研内容</w:t>
      </w:r>
    </w:p>
    <w:p w14:paraId="663898D2">
      <w:pPr>
        <w:autoSpaceDE w:val="0"/>
        <w:autoSpaceDN w:val="0"/>
        <w:adjustRightInd w:val="0"/>
        <w:jc w:val="left"/>
        <w:rPr>
          <w:rFonts w:ascii="宋体" w:hAnsi="宋体"/>
          <w:color w:val="000000"/>
          <w:sz w:val="32"/>
          <w:szCs w:val="32"/>
          <w:lang w:val="zh-CN"/>
        </w:rPr>
      </w:pPr>
    </w:p>
    <w:p w14:paraId="244BA6AE">
      <w:pPr>
        <w:autoSpaceDE w:val="0"/>
        <w:autoSpaceDN w:val="0"/>
        <w:adjustRightInd w:val="0"/>
        <w:jc w:val="left"/>
        <w:rPr>
          <w:rFonts w:ascii="宋体" w:hAnsi="宋体"/>
          <w:color w:val="000000"/>
          <w:sz w:val="32"/>
          <w:szCs w:val="32"/>
          <w:lang w:val="zh-CN"/>
        </w:rPr>
      </w:pPr>
    </w:p>
    <w:p w14:paraId="05461464">
      <w:pPr>
        <w:spacing w:line="480" w:lineRule="auto"/>
        <w:rPr>
          <w:rFonts w:ascii="宋体" w:hAnsi="宋体"/>
          <w:sz w:val="32"/>
          <w:szCs w:val="32"/>
        </w:rPr>
      </w:pPr>
    </w:p>
    <w:p w14:paraId="6C88F620">
      <w:pPr>
        <w:tabs>
          <w:tab w:val="left" w:pos="4500"/>
        </w:tabs>
        <w:autoSpaceDE w:val="0"/>
        <w:autoSpaceDN w:val="0"/>
        <w:adjustRightInd w:val="0"/>
        <w:jc w:val="center"/>
        <w:rPr>
          <w:rFonts w:ascii="宋体" w:hAnsi="宋体"/>
          <w:color w:val="000000"/>
          <w:sz w:val="44"/>
          <w:szCs w:val="44"/>
          <w:lang w:val="zh-CN"/>
        </w:rPr>
      </w:pPr>
    </w:p>
    <w:p w14:paraId="5D57137F">
      <w:pPr>
        <w:tabs>
          <w:tab w:val="left" w:pos="4500"/>
        </w:tabs>
        <w:autoSpaceDE w:val="0"/>
        <w:autoSpaceDN w:val="0"/>
        <w:adjustRightInd w:val="0"/>
        <w:jc w:val="center"/>
        <w:rPr>
          <w:rFonts w:ascii="宋体" w:hAnsi="宋体"/>
          <w:color w:val="000000"/>
          <w:sz w:val="44"/>
          <w:szCs w:val="44"/>
          <w:lang w:val="zh-CN"/>
        </w:rPr>
      </w:pPr>
    </w:p>
    <w:p w14:paraId="7093E24D">
      <w:pPr>
        <w:tabs>
          <w:tab w:val="left" w:pos="4500"/>
        </w:tabs>
        <w:autoSpaceDE w:val="0"/>
        <w:autoSpaceDN w:val="0"/>
        <w:adjustRightInd w:val="0"/>
        <w:jc w:val="center"/>
        <w:rPr>
          <w:rFonts w:ascii="宋体" w:hAnsi="宋体"/>
          <w:color w:val="000000"/>
          <w:sz w:val="44"/>
          <w:szCs w:val="44"/>
          <w:lang w:val="zh-CN"/>
        </w:rPr>
      </w:pPr>
    </w:p>
    <w:p w14:paraId="745D84C7">
      <w:pPr>
        <w:tabs>
          <w:tab w:val="left" w:pos="4500"/>
        </w:tabs>
        <w:autoSpaceDE w:val="0"/>
        <w:autoSpaceDN w:val="0"/>
        <w:adjustRightInd w:val="0"/>
        <w:spacing w:line="480" w:lineRule="auto"/>
        <w:rPr>
          <w:rFonts w:ascii="宋体" w:hAnsi="宋体"/>
          <w:color w:val="000000"/>
          <w:sz w:val="36"/>
          <w:szCs w:val="36"/>
          <w:lang w:val="zh-CN"/>
        </w:rPr>
      </w:pPr>
    </w:p>
    <w:p w14:paraId="42BBBA35">
      <w:pPr>
        <w:tabs>
          <w:tab w:val="left" w:pos="4500"/>
        </w:tabs>
        <w:autoSpaceDE w:val="0"/>
        <w:autoSpaceDN w:val="0"/>
        <w:adjustRightInd w:val="0"/>
        <w:spacing w:line="480" w:lineRule="auto"/>
        <w:rPr>
          <w:rFonts w:ascii="宋体" w:hAnsi="宋体"/>
          <w:color w:val="000000"/>
          <w:sz w:val="36"/>
          <w:szCs w:val="36"/>
          <w:lang w:val="zh-CN"/>
        </w:rPr>
      </w:pPr>
    </w:p>
    <w:p w14:paraId="36E35D18">
      <w:pPr>
        <w:tabs>
          <w:tab w:val="left" w:pos="4500"/>
        </w:tabs>
        <w:autoSpaceDE w:val="0"/>
        <w:autoSpaceDN w:val="0"/>
        <w:adjustRightInd w:val="0"/>
        <w:spacing w:line="480" w:lineRule="auto"/>
        <w:rPr>
          <w:rFonts w:ascii="宋体" w:hAnsi="宋体"/>
          <w:color w:val="000000"/>
          <w:sz w:val="36"/>
          <w:szCs w:val="36"/>
          <w:lang w:val="zh-CN"/>
        </w:rPr>
      </w:pPr>
    </w:p>
    <w:p w14:paraId="4B773364">
      <w:pPr>
        <w:tabs>
          <w:tab w:val="left" w:pos="4500"/>
        </w:tabs>
        <w:autoSpaceDE w:val="0"/>
        <w:autoSpaceDN w:val="0"/>
        <w:adjustRightInd w:val="0"/>
        <w:spacing w:line="480" w:lineRule="auto"/>
        <w:rPr>
          <w:rFonts w:ascii="宋体" w:hAnsi="宋体"/>
          <w:color w:val="000000"/>
          <w:sz w:val="36"/>
          <w:szCs w:val="36"/>
          <w:lang w:val="zh-CN"/>
        </w:rPr>
      </w:pPr>
    </w:p>
    <w:p w14:paraId="36FB5CB8">
      <w:pPr>
        <w:pStyle w:val="3"/>
        <w:spacing w:before="0" w:after="0" w:line="560" w:lineRule="exact"/>
        <w:ind w:firstLine="3092" w:firstLineChars="700"/>
        <w:rPr>
          <w:rFonts w:ascii="宋体" w:hAnsi="宋体"/>
        </w:rPr>
      </w:pPr>
      <w:r>
        <w:rPr>
          <w:rFonts w:hint="eastAsia" w:ascii="宋体" w:hAnsi="宋体"/>
        </w:rPr>
        <w:t>2026年0</w:t>
      </w:r>
      <w:r>
        <w:rPr>
          <w:rFonts w:hint="eastAsia" w:ascii="宋体" w:hAnsi="宋体"/>
          <w:lang w:val="en-US" w:eastAsia="zh-CN"/>
        </w:rPr>
        <w:t>9</w:t>
      </w:r>
      <w:bookmarkStart w:id="1" w:name="_GoBack"/>
      <w:bookmarkEnd w:id="1"/>
      <w:r>
        <w:rPr>
          <w:rFonts w:hint="eastAsia" w:ascii="宋体" w:hAnsi="宋体"/>
        </w:rPr>
        <w:t>月</w:t>
      </w:r>
    </w:p>
    <w:p w14:paraId="6420CD11">
      <w:pPr>
        <w:rPr>
          <w:rFonts w:hint="eastAsia" w:ascii="宋体" w:hAnsi="宋体" w:cs="仿宋_GB2312"/>
          <w:b/>
          <w:bCs/>
          <w:color w:val="000000"/>
          <w:sz w:val="28"/>
          <w:szCs w:val="28"/>
        </w:rPr>
      </w:pPr>
      <w:bookmarkStart w:id="0" w:name="_Toc465785687"/>
      <w:r>
        <w:rPr>
          <w:rFonts w:hint="eastAsia" w:ascii="宋体" w:hAnsi="宋体" w:cs="仿宋_GB2312"/>
          <w:b/>
          <w:bCs/>
          <w:color w:val="000000"/>
          <w:sz w:val="28"/>
          <w:szCs w:val="28"/>
        </w:rPr>
        <w:br w:type="page"/>
      </w:r>
    </w:p>
    <w:p w14:paraId="5967F74A">
      <w:pPr>
        <w:spacing w:line="560" w:lineRule="exact"/>
        <w:rPr>
          <w:rFonts w:ascii="宋体" w:hAnsi="宋体" w:cs="仿宋_GB2312"/>
          <w:b/>
          <w:bCs/>
          <w:color w:val="000000"/>
          <w:sz w:val="28"/>
          <w:szCs w:val="28"/>
        </w:rPr>
      </w:pPr>
      <w:r>
        <w:rPr>
          <w:rFonts w:hint="eastAsia" w:ascii="宋体" w:hAnsi="宋体" w:cs="仿宋_GB2312"/>
          <w:b/>
          <w:bCs/>
          <w:color w:val="000000"/>
          <w:sz w:val="28"/>
          <w:szCs w:val="28"/>
        </w:rPr>
        <w:t>一、产品清单</w:t>
      </w:r>
    </w:p>
    <w:p w14:paraId="0486C43A">
      <w:pPr>
        <w:spacing w:line="360" w:lineRule="auto"/>
        <w:ind w:firstLine="480"/>
        <w:rPr>
          <w:rFonts w:ascii="宋体" w:hAnsi="宋体" w:cs="宋体"/>
          <w:color w:val="000000"/>
          <w:sz w:val="24"/>
        </w:rPr>
      </w:pPr>
      <w:r>
        <w:rPr>
          <w:rFonts w:hint="eastAsia" w:ascii="宋体" w:hAnsi="宋体" w:cs="宋体"/>
          <w:color w:val="000000"/>
          <w:sz w:val="24"/>
        </w:rPr>
        <w:t>对现有国产化超融合平台扩容 1 节点</w:t>
      </w:r>
    </w:p>
    <w:tbl>
      <w:tblPr>
        <w:tblStyle w:val="10"/>
        <w:tblW w:w="84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3"/>
        <w:gridCol w:w="1747"/>
        <w:gridCol w:w="5970"/>
      </w:tblGrid>
      <w:tr w14:paraId="191C0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3" w:type="dxa"/>
          </w:tcPr>
          <w:p w14:paraId="1670A4BF">
            <w:pPr>
              <w:jc w:val="center"/>
              <w:rPr>
                <w:rFonts w:ascii="宋体" w:hAnsi="宋体"/>
                <w:kern w:val="0"/>
                <w:sz w:val="24"/>
              </w:rPr>
            </w:pPr>
            <w:r>
              <w:rPr>
                <w:rFonts w:hint="eastAsia" w:ascii="宋体" w:hAnsi="宋体"/>
                <w:kern w:val="0"/>
                <w:sz w:val="24"/>
              </w:rPr>
              <w:t>序号</w:t>
            </w:r>
          </w:p>
        </w:tc>
        <w:tc>
          <w:tcPr>
            <w:tcW w:w="1747" w:type="dxa"/>
          </w:tcPr>
          <w:p w14:paraId="7A6CE0B7">
            <w:pPr>
              <w:jc w:val="center"/>
              <w:rPr>
                <w:rFonts w:ascii="宋体" w:hAnsi="宋体"/>
                <w:kern w:val="0"/>
                <w:sz w:val="24"/>
              </w:rPr>
            </w:pPr>
            <w:r>
              <w:rPr>
                <w:rFonts w:hint="eastAsia" w:ascii="宋体" w:hAnsi="宋体"/>
                <w:kern w:val="0"/>
                <w:sz w:val="24"/>
              </w:rPr>
              <w:t>名称</w:t>
            </w:r>
          </w:p>
        </w:tc>
        <w:tc>
          <w:tcPr>
            <w:tcW w:w="5970" w:type="dxa"/>
          </w:tcPr>
          <w:p w14:paraId="3DF5C890">
            <w:pPr>
              <w:jc w:val="center"/>
              <w:rPr>
                <w:rFonts w:ascii="宋体" w:hAnsi="宋体"/>
                <w:kern w:val="0"/>
                <w:sz w:val="24"/>
              </w:rPr>
            </w:pPr>
            <w:r>
              <w:rPr>
                <w:rFonts w:hint="eastAsia" w:ascii="宋体" w:hAnsi="宋体"/>
                <w:kern w:val="0"/>
                <w:sz w:val="24"/>
              </w:rPr>
              <w:t>功能、性能、配置要求</w:t>
            </w:r>
          </w:p>
        </w:tc>
      </w:tr>
      <w:tr w14:paraId="69334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3" w:type="dxa"/>
            <w:vAlign w:val="center"/>
          </w:tcPr>
          <w:p w14:paraId="645FB54A">
            <w:pPr>
              <w:jc w:val="center"/>
              <w:rPr>
                <w:rFonts w:ascii="宋体" w:hAnsi="宋体"/>
                <w:kern w:val="0"/>
                <w:sz w:val="24"/>
              </w:rPr>
            </w:pPr>
            <w:r>
              <w:rPr>
                <w:rFonts w:hint="eastAsia" w:ascii="宋体" w:hAnsi="宋体"/>
                <w:kern w:val="0"/>
                <w:sz w:val="24"/>
              </w:rPr>
              <w:t>1</w:t>
            </w:r>
          </w:p>
        </w:tc>
        <w:tc>
          <w:tcPr>
            <w:tcW w:w="1747" w:type="dxa"/>
            <w:vAlign w:val="center"/>
          </w:tcPr>
          <w:p w14:paraId="46BAB7DE">
            <w:pPr>
              <w:rPr>
                <w:rFonts w:ascii="宋体" w:hAnsi="宋体"/>
                <w:kern w:val="0"/>
                <w:sz w:val="24"/>
              </w:rPr>
            </w:pPr>
            <w:r>
              <w:rPr>
                <w:rFonts w:hint="eastAsia" w:ascii="宋体" w:hAnsi="宋体"/>
                <w:kern w:val="0"/>
                <w:sz w:val="24"/>
              </w:rPr>
              <w:t>★实质性要求</w:t>
            </w:r>
          </w:p>
        </w:tc>
        <w:tc>
          <w:tcPr>
            <w:tcW w:w="5970" w:type="dxa"/>
          </w:tcPr>
          <w:p w14:paraId="042C8D47">
            <w:pPr>
              <w:rPr>
                <w:rFonts w:ascii="宋体" w:hAnsi="宋体"/>
                <w:kern w:val="0"/>
                <w:sz w:val="24"/>
              </w:rPr>
            </w:pPr>
            <w:r>
              <w:rPr>
                <w:rFonts w:ascii="宋体" w:hAnsi="宋体"/>
                <w:kern w:val="0"/>
                <w:sz w:val="24"/>
              </w:rPr>
              <w:t>不低于以下要求：</w:t>
            </w:r>
          </w:p>
          <w:p w14:paraId="3C34972A">
            <w:pPr>
              <w:rPr>
                <w:rFonts w:ascii="宋体" w:hAnsi="宋体"/>
                <w:kern w:val="0"/>
                <w:sz w:val="24"/>
              </w:rPr>
            </w:pPr>
            <w:r>
              <w:rPr>
                <w:rFonts w:ascii="宋体" w:hAnsi="宋体"/>
                <w:kern w:val="0"/>
                <w:sz w:val="24"/>
              </w:rPr>
              <w:t>硬件要求：</w:t>
            </w:r>
          </w:p>
          <w:p w14:paraId="4897ECD7">
            <w:pPr>
              <w:rPr>
                <w:rFonts w:ascii="宋体" w:hAnsi="宋体"/>
                <w:kern w:val="0"/>
                <w:sz w:val="24"/>
              </w:rPr>
            </w:pPr>
            <w:r>
              <w:rPr>
                <w:rFonts w:ascii="宋体" w:hAnsi="宋体"/>
                <w:kern w:val="0"/>
                <w:sz w:val="24"/>
              </w:rPr>
              <w:t>1、配置≥2U机架式服务器，含安装导轨；配置≥2 颗国产C86处理器，符合安全可靠测评II级；单颗处理器主频≥2.2GHz，单颗处理器≥32核心；内存配置≥</w:t>
            </w:r>
            <w:r>
              <w:rPr>
                <w:rFonts w:hint="eastAsia" w:ascii="宋体" w:hAnsi="宋体"/>
                <w:kern w:val="0"/>
                <w:sz w:val="24"/>
              </w:rPr>
              <w:t>128</w:t>
            </w:r>
            <w:r>
              <w:rPr>
                <w:rFonts w:ascii="宋体" w:hAnsi="宋体"/>
                <w:kern w:val="0"/>
                <w:sz w:val="24"/>
              </w:rPr>
              <w:t>GB，内存插槽≥32个； 配置≥2块480GB SATA SSD系统盘（硬件RAID1）；配置≥6个25Gb光接口（满配25GB多模光模块）配置≥2个冗余电源；提供≥4个热插拔冗余风扇；配置独立管理端口，提供基于Web的远程管理控制、配备硬件监控、远程管理功能；提供KVM功能，实现远程开关机、重启、网络安装操作系统等操作</w:t>
            </w:r>
          </w:p>
          <w:p w14:paraId="0765D1FF">
            <w:pPr>
              <w:rPr>
                <w:rFonts w:ascii="宋体" w:hAnsi="宋体"/>
                <w:kern w:val="0"/>
                <w:sz w:val="24"/>
              </w:rPr>
            </w:pPr>
            <w:r>
              <w:rPr>
                <w:rFonts w:ascii="宋体" w:hAnsi="宋体"/>
                <w:kern w:val="0"/>
                <w:sz w:val="24"/>
              </w:rPr>
              <w:t>2、提供</w:t>
            </w:r>
            <w:r>
              <w:rPr>
                <w:rFonts w:hint="eastAsia" w:ascii="宋体" w:hAnsi="宋体"/>
                <w:kern w:val="0"/>
                <w:sz w:val="24"/>
              </w:rPr>
              <w:t>3</w:t>
            </w:r>
            <w:r>
              <w:rPr>
                <w:rFonts w:ascii="宋体" w:hAnsi="宋体"/>
                <w:kern w:val="0"/>
                <w:sz w:val="24"/>
              </w:rPr>
              <w:t>年原厂质保及软件升级服务。</w:t>
            </w:r>
          </w:p>
          <w:p w14:paraId="6835C79A">
            <w:pPr>
              <w:rPr>
                <w:rFonts w:ascii="宋体" w:hAnsi="宋体"/>
                <w:kern w:val="0"/>
                <w:sz w:val="24"/>
              </w:rPr>
            </w:pPr>
            <w:r>
              <w:rPr>
                <w:rFonts w:ascii="宋体" w:hAnsi="宋体"/>
                <w:kern w:val="0"/>
                <w:sz w:val="24"/>
              </w:rPr>
              <w:t>软件要求：</w:t>
            </w:r>
          </w:p>
          <w:p w14:paraId="72373FFA">
            <w:pPr>
              <w:rPr>
                <w:rFonts w:ascii="宋体" w:hAnsi="宋体"/>
                <w:kern w:val="0"/>
                <w:sz w:val="24"/>
              </w:rPr>
            </w:pPr>
            <w:r>
              <w:rPr>
                <w:rFonts w:ascii="宋体" w:hAnsi="宋体"/>
                <w:kern w:val="0"/>
                <w:sz w:val="24"/>
              </w:rPr>
              <w:t>1、配置≥</w:t>
            </w:r>
            <w:r>
              <w:rPr>
                <w:rFonts w:hint="eastAsia" w:ascii="宋体" w:hAnsi="宋体"/>
                <w:kern w:val="0"/>
                <w:sz w:val="24"/>
              </w:rPr>
              <w:t>1</w:t>
            </w:r>
            <w:r>
              <w:rPr>
                <w:rFonts w:ascii="宋体" w:hAnsi="宋体"/>
                <w:kern w:val="0"/>
                <w:sz w:val="24"/>
              </w:rPr>
              <w:t>节点或</w:t>
            </w:r>
            <w:r>
              <w:rPr>
                <w:rFonts w:hint="eastAsia" w:ascii="宋体" w:hAnsi="宋体"/>
                <w:kern w:val="0"/>
                <w:sz w:val="24"/>
              </w:rPr>
              <w:t>2</w:t>
            </w:r>
            <w:r>
              <w:rPr>
                <w:rFonts w:ascii="宋体" w:hAnsi="宋体"/>
                <w:kern w:val="0"/>
                <w:sz w:val="24"/>
              </w:rPr>
              <w:t>CPU的计算虚拟化、网络虚拟化、存储虚拟化、网络流量可视化。配置云管理平台1套，可以对本次所投产品进行统一管理。</w:t>
            </w:r>
          </w:p>
          <w:p w14:paraId="4C9E3C47">
            <w:pPr>
              <w:rPr>
                <w:rFonts w:ascii="宋体" w:hAnsi="宋体"/>
                <w:kern w:val="0"/>
                <w:sz w:val="24"/>
              </w:rPr>
            </w:pPr>
            <w:r>
              <w:rPr>
                <w:rFonts w:hint="eastAsia" w:ascii="宋体" w:hAnsi="宋体"/>
                <w:kern w:val="0"/>
                <w:sz w:val="24"/>
              </w:rPr>
              <w:t>2</w:t>
            </w:r>
            <w:r>
              <w:rPr>
                <w:rFonts w:ascii="宋体" w:hAnsi="宋体"/>
                <w:kern w:val="0"/>
                <w:sz w:val="24"/>
              </w:rPr>
              <w:t>、本次超融合软件交付后云平台计算、存储、网络、安全、容灾、备份完全融合，统一通过方式管理。现有云平台品牌技术型号为KVM规格，管理方式需要rest api方式融入现有核心云平台，支持云主机在线迁移，不更变硬件 ID（供应商提供服务承诺函并加盖公章）</w:t>
            </w:r>
          </w:p>
          <w:p w14:paraId="6D7B3D31">
            <w:pPr>
              <w:rPr>
                <w:rFonts w:ascii="宋体" w:hAnsi="宋体"/>
                <w:kern w:val="0"/>
                <w:sz w:val="24"/>
              </w:rPr>
            </w:pPr>
            <w:r>
              <w:rPr>
                <w:rFonts w:hint="eastAsia" w:ascii="宋体" w:hAnsi="宋体"/>
                <w:kern w:val="0"/>
                <w:sz w:val="24"/>
              </w:rPr>
              <w:t>3</w:t>
            </w:r>
            <w:r>
              <w:rPr>
                <w:rFonts w:ascii="宋体" w:hAnsi="宋体"/>
                <w:kern w:val="0"/>
                <w:sz w:val="24"/>
              </w:rPr>
              <w:t>、超融合软件授权对单台设备不限制每颗CPU核心数、内存容量，保证用户日后基于配件级扩容。交付软件授权为永久授权，且软件授权不锁定硬件，支持将软件license转移到其他（Intel、海光、鲲鹏）硬件平台设备。如有限制则提供最高版本授权，保证用户使用不受限制。</w:t>
            </w:r>
          </w:p>
          <w:p w14:paraId="2BE772FE">
            <w:pPr>
              <w:pStyle w:val="5"/>
              <w:ind w:left="0" w:leftChars="0"/>
              <w:rPr>
                <w:rFonts w:ascii="宋体" w:hAnsi="宋体"/>
                <w:kern w:val="0"/>
                <w:szCs w:val="24"/>
              </w:rPr>
            </w:pPr>
            <w:r>
              <w:rPr>
                <w:rFonts w:hint="eastAsia" w:ascii="宋体" w:hAnsi="宋体"/>
                <w:kern w:val="0"/>
                <w:szCs w:val="24"/>
              </w:rPr>
              <w:t>4</w:t>
            </w:r>
            <w:r>
              <w:rPr>
                <w:rFonts w:ascii="宋体" w:hAnsi="宋体"/>
                <w:kern w:val="0"/>
                <w:szCs w:val="24"/>
              </w:rPr>
              <w:t>、提供</w:t>
            </w:r>
            <w:r>
              <w:rPr>
                <w:rFonts w:hint="eastAsia" w:ascii="宋体" w:hAnsi="宋体"/>
                <w:kern w:val="0"/>
                <w:szCs w:val="24"/>
              </w:rPr>
              <w:t>3</w:t>
            </w:r>
            <w:r>
              <w:rPr>
                <w:rFonts w:ascii="宋体" w:hAnsi="宋体"/>
                <w:kern w:val="0"/>
                <w:szCs w:val="24"/>
              </w:rPr>
              <w:t>年原厂质保及软件升级服务。</w:t>
            </w:r>
          </w:p>
        </w:tc>
      </w:tr>
      <w:tr w14:paraId="17188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3" w:type="dxa"/>
            <w:vAlign w:val="center"/>
          </w:tcPr>
          <w:p w14:paraId="70263A1A">
            <w:pPr>
              <w:jc w:val="center"/>
              <w:rPr>
                <w:rFonts w:ascii="宋体" w:hAnsi="宋体"/>
                <w:kern w:val="0"/>
                <w:sz w:val="24"/>
              </w:rPr>
            </w:pPr>
            <w:r>
              <w:rPr>
                <w:rFonts w:hint="eastAsia" w:ascii="宋体" w:hAnsi="宋体"/>
                <w:kern w:val="0"/>
                <w:sz w:val="24"/>
              </w:rPr>
              <w:t>2</w:t>
            </w:r>
          </w:p>
        </w:tc>
        <w:tc>
          <w:tcPr>
            <w:tcW w:w="1747" w:type="dxa"/>
            <w:vAlign w:val="center"/>
          </w:tcPr>
          <w:p w14:paraId="058FF2B5">
            <w:pPr>
              <w:rPr>
                <w:rFonts w:ascii="宋体" w:hAnsi="宋体"/>
                <w:kern w:val="0"/>
                <w:sz w:val="24"/>
              </w:rPr>
            </w:pPr>
            <w:r>
              <w:rPr>
                <w:rFonts w:hint="eastAsia" w:ascii="宋体" w:hAnsi="宋体"/>
                <w:kern w:val="0"/>
                <w:sz w:val="24"/>
              </w:rPr>
              <w:t>非实质性要求</w:t>
            </w:r>
          </w:p>
        </w:tc>
        <w:tc>
          <w:tcPr>
            <w:tcW w:w="5970" w:type="dxa"/>
          </w:tcPr>
          <w:p w14:paraId="7E5EB595">
            <w:pPr>
              <w:rPr>
                <w:rFonts w:ascii="宋体" w:hAnsi="宋体"/>
                <w:kern w:val="0"/>
                <w:sz w:val="24"/>
              </w:rPr>
            </w:pPr>
            <w:r>
              <w:rPr>
                <w:rFonts w:ascii="宋体" w:hAnsi="宋体"/>
                <w:kern w:val="0"/>
                <w:sz w:val="24"/>
              </w:rPr>
              <w:t>不低于以下要求：</w:t>
            </w:r>
          </w:p>
          <w:p w14:paraId="12691F4D">
            <w:pPr>
              <w:rPr>
                <w:rFonts w:ascii="宋体" w:hAnsi="宋体"/>
                <w:kern w:val="0"/>
                <w:sz w:val="24"/>
              </w:rPr>
            </w:pPr>
            <w:r>
              <w:rPr>
                <w:rFonts w:ascii="宋体" w:hAnsi="宋体"/>
                <w:kern w:val="0"/>
                <w:sz w:val="24"/>
              </w:rPr>
              <w:t>软件要求：</w:t>
            </w:r>
          </w:p>
          <w:p w14:paraId="65E27E59">
            <w:pPr>
              <w:rPr>
                <w:rFonts w:ascii="宋体" w:hAnsi="宋体"/>
                <w:kern w:val="0"/>
                <w:sz w:val="24"/>
              </w:rPr>
            </w:pPr>
            <w:r>
              <w:rPr>
                <w:rFonts w:ascii="宋体" w:hAnsi="宋体"/>
                <w:kern w:val="0"/>
                <w:sz w:val="24"/>
              </w:rPr>
              <w:t>1、为满足兼容性要求，云平台须为最新版本。支持从原有VMware云平台中批量迁移至新购平台中，支持全量增量传输，提供原厂迁移工具，并提供原厂迁移服务。</w:t>
            </w:r>
          </w:p>
          <w:p w14:paraId="3D161112">
            <w:pPr>
              <w:rPr>
                <w:rFonts w:ascii="宋体" w:hAnsi="宋体"/>
                <w:kern w:val="0"/>
                <w:sz w:val="24"/>
              </w:rPr>
            </w:pPr>
            <w:r>
              <w:rPr>
                <w:rFonts w:ascii="宋体" w:hAnsi="宋体"/>
                <w:kern w:val="0"/>
                <w:sz w:val="24"/>
              </w:rPr>
              <w:t>▲2、云平台建设完毕后支持通过虚拟机快照重建虚拟机。支持定时快照功能，快照对象可选择虚拟机或虚拟卷，可配置定时快照的时间策略，指定保留快照组的数量。（提供证明材料并加盖公章，中标后签订合同前提供功能演示）</w:t>
            </w:r>
          </w:p>
          <w:p w14:paraId="1299B93B">
            <w:pPr>
              <w:rPr>
                <w:rFonts w:ascii="宋体" w:hAnsi="宋体"/>
                <w:kern w:val="0"/>
                <w:sz w:val="24"/>
              </w:rPr>
            </w:pPr>
            <w:r>
              <w:rPr>
                <w:rFonts w:ascii="宋体" w:hAnsi="宋体"/>
                <w:kern w:val="0"/>
                <w:sz w:val="24"/>
              </w:rPr>
              <w:t>3、为保证中心数据安全，需支持配置基于服务器机架拓扑感知的数据放置功能，防止数据的多个副本放置在同一机架空间内。避免出现由于单一机架的电源、网络故障或机柜受潮造成的数据无法访问。（提供证明材料并加盖公章，中标后签订合同前提供功能演示）</w:t>
            </w:r>
          </w:p>
          <w:p w14:paraId="2E63D02C">
            <w:pPr>
              <w:rPr>
                <w:rFonts w:ascii="宋体" w:hAnsi="宋体"/>
                <w:kern w:val="0"/>
                <w:sz w:val="24"/>
              </w:rPr>
            </w:pPr>
            <w:r>
              <w:rPr>
                <w:rFonts w:ascii="宋体" w:hAnsi="宋体"/>
                <w:kern w:val="0"/>
                <w:sz w:val="24"/>
              </w:rPr>
              <w:t>4、保证网络低延迟、高吞吐、高效率并支持无损网络，实配 RDMA 功能并使用 RDMA 协议进行存储节点间数据传输，降低访问延时，中标方提供专业网络工程师配合，确保无损网络落地。</w:t>
            </w:r>
          </w:p>
          <w:p w14:paraId="4635E341">
            <w:pPr>
              <w:rPr>
                <w:rFonts w:ascii="宋体" w:hAnsi="宋体"/>
                <w:kern w:val="0"/>
                <w:sz w:val="24"/>
              </w:rPr>
            </w:pPr>
            <w:r>
              <w:rPr>
                <w:rFonts w:ascii="宋体" w:hAnsi="宋体"/>
                <w:kern w:val="0"/>
                <w:sz w:val="24"/>
              </w:rPr>
              <w:t>▲5、平台应支持第三方无代理防病毒方案（如亚信安全等第三方防病毒厂商），通过虚拟化层统一实现虚拟机病毒防护，无需在虚拟机内部安装代理程序。（提供无代理防病毒联合方案测试报告并加盖公司公章，中标后签订合同前提供功能演示）。</w:t>
            </w:r>
          </w:p>
          <w:p w14:paraId="1C5C0217">
            <w:pPr>
              <w:rPr>
                <w:rFonts w:ascii="宋体" w:hAnsi="宋体"/>
                <w:kern w:val="0"/>
                <w:sz w:val="24"/>
              </w:rPr>
            </w:pPr>
            <w:r>
              <w:rPr>
                <w:rFonts w:ascii="宋体" w:hAnsi="宋体"/>
                <w:kern w:val="0"/>
                <w:sz w:val="24"/>
              </w:rPr>
              <w:t>▲6、支持纠删码（EC）的存储策略，支持 2+1、4+1、4+2、8+2、22+1、22+2、8+3、8+4 等多种配比。（提供证明材料并加盖公章，中标后签订合同前提供功能演示）</w:t>
            </w:r>
          </w:p>
          <w:p w14:paraId="10C8FF28">
            <w:pPr>
              <w:rPr>
                <w:rFonts w:ascii="宋体" w:hAnsi="宋体"/>
                <w:kern w:val="0"/>
                <w:sz w:val="24"/>
              </w:rPr>
            </w:pPr>
            <w:r>
              <w:rPr>
                <w:rFonts w:ascii="宋体" w:hAnsi="宋体"/>
                <w:kern w:val="0"/>
                <w:sz w:val="24"/>
              </w:rPr>
              <w:t>▲7、虚拟机可根据需求进行选择磁盘，非存储池层面支持，同一虚拟机两副本磁盘、三副本磁盘及EC副本策略并加盖公章，中标后签订合同前提供功能演示）</w:t>
            </w:r>
          </w:p>
          <w:p w14:paraId="09F149FF">
            <w:pPr>
              <w:rPr>
                <w:rFonts w:ascii="宋体" w:hAnsi="宋体"/>
                <w:kern w:val="0"/>
                <w:sz w:val="24"/>
              </w:rPr>
            </w:pPr>
            <w:r>
              <w:rPr>
                <w:rFonts w:ascii="宋体" w:hAnsi="宋体"/>
                <w:kern w:val="0"/>
                <w:sz w:val="24"/>
              </w:rPr>
              <w:t>8、为保证后续扩容，需支持跨代CPU兼容功能，针对海光 CPU 服务器，可支持多种（Dhyana、EPYC、Opteron 等至少3种及以上）CPU 指令集，实现跨代 CPU 主机之间的虚拟机的在线迁移。（提供证明材料并加盖公章，中标后签订合同前提供功能演示）</w:t>
            </w:r>
          </w:p>
          <w:p w14:paraId="08B0726A">
            <w:pPr>
              <w:rPr>
                <w:rFonts w:ascii="宋体" w:hAnsi="宋体"/>
                <w:kern w:val="0"/>
                <w:sz w:val="24"/>
              </w:rPr>
            </w:pPr>
            <w:r>
              <w:rPr>
                <w:rFonts w:ascii="宋体" w:hAnsi="宋体"/>
                <w:kern w:val="0"/>
                <w:sz w:val="24"/>
              </w:rPr>
              <w:t>▲9、云平台本身可对外提供文件存储，至少支持 NFS和HDFS 协议，可在云平台中统一管理，并支持高可用。（签订合同时提供功能界面截图）</w:t>
            </w:r>
          </w:p>
          <w:p w14:paraId="7421F784">
            <w:pPr>
              <w:rPr>
                <w:rFonts w:ascii="宋体" w:hAnsi="宋体"/>
                <w:kern w:val="0"/>
                <w:sz w:val="24"/>
              </w:rPr>
            </w:pPr>
            <w:r>
              <w:rPr>
                <w:rFonts w:ascii="宋体" w:hAnsi="宋体"/>
                <w:kern w:val="0"/>
                <w:sz w:val="24"/>
              </w:rPr>
              <w:t>▲10、支持同一个云系统中服务器配置不同，如配置不同的 CPU、SSD、HDD 等，支持非一体机的云平台软件部署到不同品牌的服务器。（签订合同时提供官网证明截图及链接）</w:t>
            </w:r>
          </w:p>
          <w:p w14:paraId="562166D5">
            <w:pPr>
              <w:rPr>
                <w:rFonts w:ascii="宋体" w:hAnsi="宋体"/>
                <w:kern w:val="0"/>
                <w:sz w:val="24"/>
              </w:rPr>
            </w:pPr>
            <w:r>
              <w:rPr>
                <w:rFonts w:ascii="宋体" w:hAnsi="宋体"/>
                <w:kern w:val="0"/>
                <w:sz w:val="24"/>
              </w:rPr>
              <w:t>11、提供标准的NFS或iSCSI存储访问协议。可将云平台的存储资源作为共享存储挂载给外部的物理机或者虚拟机使用。</w:t>
            </w:r>
          </w:p>
          <w:p w14:paraId="5A72D829">
            <w:pPr>
              <w:rPr>
                <w:rFonts w:ascii="宋体" w:hAnsi="宋体"/>
                <w:kern w:val="0"/>
                <w:sz w:val="24"/>
              </w:rPr>
            </w:pPr>
            <w:r>
              <w:rPr>
                <w:rFonts w:ascii="宋体" w:hAnsi="宋体"/>
                <w:kern w:val="0"/>
                <w:sz w:val="24"/>
              </w:rPr>
              <w:t>▲12、云平台支持网络流量可视化服务，支持虚拟机东西南北向流量可视化，支持拓扑视图和表格视图，直观展示虚拟机网络、系统网络及外部 IP 地址间的数据流大小、方向、路径等详情信息，精确获取五元组详情，自动生成虚拟机之间流量关系的拓扑，并支持导出。（签订合同时提供功能界面截图）</w:t>
            </w:r>
          </w:p>
          <w:p w14:paraId="02DB947C">
            <w:pPr>
              <w:rPr>
                <w:rFonts w:ascii="宋体" w:hAnsi="宋体"/>
                <w:kern w:val="0"/>
                <w:sz w:val="24"/>
              </w:rPr>
            </w:pPr>
            <w:r>
              <w:rPr>
                <w:rFonts w:ascii="宋体" w:hAnsi="宋体"/>
                <w:kern w:val="0"/>
                <w:sz w:val="24"/>
              </w:rPr>
              <w:t>▲13、平台应支持虚拟机热迁移过程中的数据传输加密能力，保障迁移过程中虚拟机内存及运行状态数据的安全。（提供证明材料并加盖公章，中标后签订合同前提供功能演示）。</w:t>
            </w:r>
          </w:p>
          <w:p w14:paraId="3CDC08A0">
            <w:pPr>
              <w:rPr>
                <w:rFonts w:ascii="宋体" w:hAnsi="宋体"/>
                <w:kern w:val="0"/>
                <w:sz w:val="24"/>
              </w:rPr>
            </w:pPr>
            <w:r>
              <w:rPr>
                <w:rFonts w:ascii="宋体" w:hAnsi="宋体"/>
                <w:kern w:val="0"/>
                <w:sz w:val="24"/>
              </w:rPr>
              <w:t>14、配置亚健康盘探测隔离自动数据恢复功能，主动发现亚健康盘，对亚健康盘进行隔离，并自动数据恢复，提高系统可用性减少风险，避免亚健康盘带来IO延迟提高和吞吐性能下降，从而保证系统的整体性能稳定</w:t>
            </w:r>
          </w:p>
          <w:p w14:paraId="6043C914">
            <w:pPr>
              <w:rPr>
                <w:rFonts w:ascii="宋体" w:hAnsi="宋体"/>
                <w:kern w:val="0"/>
                <w:sz w:val="24"/>
              </w:rPr>
            </w:pPr>
            <w:r>
              <w:rPr>
                <w:rFonts w:ascii="宋体" w:hAnsi="宋体"/>
                <w:kern w:val="0"/>
                <w:sz w:val="24"/>
              </w:rPr>
              <w:t>15、动态感知上层业务压力，在不影响用户的业务IO前提下，智能调整集群的数据恢复／迁移速率。高负载时自动降低数据恢复速率，避免数据恢复对上层业务IO产生影响，在低负载情况下提升数据恢复。（提供证明材料并加盖公章，中标后签订合同前提供功能演示）</w:t>
            </w:r>
          </w:p>
          <w:p w14:paraId="2385E4C6">
            <w:pPr>
              <w:rPr>
                <w:rFonts w:ascii="宋体" w:hAnsi="宋体"/>
                <w:kern w:val="0"/>
                <w:sz w:val="24"/>
              </w:rPr>
            </w:pPr>
            <w:r>
              <w:rPr>
                <w:rFonts w:ascii="宋体" w:hAnsi="宋体"/>
                <w:kern w:val="0"/>
                <w:sz w:val="24"/>
              </w:rPr>
              <w:t>▲16、为保证集群容量和业务运行稳定，基于分层模式组成存储池，当任意一块缓存盘（SSD） 发生故障情况下，其影响范围仅限于故障的 SSD ，不会引起相关磁盘组的其它 HDD 掉线，同时不会引起存储可用容量减少。（提供证明材料并加盖公章，中标后签订合同前提供功能演示）</w:t>
            </w:r>
          </w:p>
          <w:p w14:paraId="62A657F8">
            <w:pPr>
              <w:rPr>
                <w:rFonts w:ascii="宋体" w:hAnsi="宋体"/>
                <w:kern w:val="0"/>
                <w:sz w:val="24"/>
              </w:rPr>
            </w:pPr>
            <w:r>
              <w:rPr>
                <w:rFonts w:ascii="宋体" w:hAnsi="宋体"/>
                <w:kern w:val="0"/>
                <w:sz w:val="24"/>
              </w:rPr>
              <w:t>17、支持临时副本能力，当集群发生硬盘故障或者主机离线导致数据副本发生降级，在数据完全恢复前，所有 IO 写入系统会提供临时副本保护，可增强数据恢复期间的数据可靠性。（提供证明材料并加盖公章，中标后签订合同前提供功能演示）</w:t>
            </w:r>
          </w:p>
          <w:p w14:paraId="2289AF58">
            <w:pPr>
              <w:rPr>
                <w:rFonts w:ascii="宋体" w:hAnsi="宋体"/>
                <w:kern w:val="0"/>
                <w:sz w:val="24"/>
              </w:rPr>
            </w:pPr>
            <w:r>
              <w:rPr>
                <w:rFonts w:ascii="宋体" w:hAnsi="宋体"/>
                <w:kern w:val="0"/>
                <w:sz w:val="24"/>
              </w:rPr>
              <w:t>▲18、可利用 SPDK 技术，实现用户态进程间内存共享，优化数据复制效率（零拷贝），减少内核开销，提升 I/O 性能，在本次交付的双活集群中启用此功能（提供证明材料并加盖公章，中标后签订合同前提供功能演示）</w:t>
            </w:r>
          </w:p>
        </w:tc>
      </w:tr>
    </w:tbl>
    <w:p w14:paraId="41229F97">
      <w:pPr>
        <w:spacing w:line="360" w:lineRule="auto"/>
        <w:rPr>
          <w:rFonts w:ascii="宋体" w:hAnsi="宋体"/>
          <w:b/>
          <w:bCs/>
          <w:color w:val="000000"/>
          <w:sz w:val="28"/>
          <w:szCs w:val="28"/>
        </w:rPr>
      </w:pPr>
      <w:r>
        <w:rPr>
          <w:rFonts w:hint="eastAsia" w:ascii="宋体" w:hAnsi="宋体"/>
          <w:b/>
          <w:bCs/>
          <w:color w:val="000000"/>
          <w:sz w:val="28"/>
          <w:szCs w:val="28"/>
        </w:rPr>
        <w:t>二、商务要求：</w:t>
      </w:r>
    </w:p>
    <w:p w14:paraId="6851385F">
      <w:pPr>
        <w:spacing w:line="360" w:lineRule="auto"/>
        <w:ind w:firstLine="480"/>
        <w:rPr>
          <w:rFonts w:ascii="宋体" w:hAnsi="宋体" w:cs="宋体"/>
          <w:color w:val="000000"/>
          <w:sz w:val="24"/>
        </w:rPr>
      </w:pPr>
      <w:r>
        <w:rPr>
          <w:rFonts w:hint="eastAsia" w:ascii="宋体" w:hAnsi="宋体" w:cs="宋体"/>
          <w:color w:val="000000"/>
          <w:sz w:val="24"/>
        </w:rPr>
        <w:t>1、本系统中软硬件技术支持需要投标人在项目验收合格后免费技术支持3年，调研方应在供应实施当地（市级）设立技术支持和售后服务机构，并有足够的人员来保证技术支持和售后服务。调研方须提供7*24小时的技术支持和免费的上门维护升级服务。</w:t>
      </w:r>
    </w:p>
    <w:p w14:paraId="0EEC9085">
      <w:pPr>
        <w:spacing w:line="360" w:lineRule="auto"/>
        <w:ind w:firstLine="480"/>
        <w:rPr>
          <w:rFonts w:ascii="宋体" w:hAnsi="宋体" w:cs="宋体"/>
          <w:color w:val="000000"/>
          <w:sz w:val="24"/>
        </w:rPr>
      </w:pPr>
      <w:r>
        <w:rPr>
          <w:rFonts w:hint="eastAsia" w:ascii="宋体" w:hAnsi="宋体" w:cs="宋体"/>
          <w:color w:val="000000"/>
          <w:sz w:val="24"/>
        </w:rPr>
        <w:t>故障级别定义及解决时间要求如下：</w:t>
      </w:r>
    </w:p>
    <w:tbl>
      <w:tblPr>
        <w:tblStyle w:val="6"/>
        <w:tblW w:w="86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99"/>
        <w:gridCol w:w="1396"/>
        <w:gridCol w:w="1559"/>
        <w:gridCol w:w="1418"/>
        <w:gridCol w:w="1294"/>
        <w:gridCol w:w="1257"/>
      </w:tblGrid>
      <w:tr w14:paraId="544F0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tcPr>
          <w:p w14:paraId="24710966">
            <w:pPr>
              <w:jc w:val="center"/>
              <w:rPr>
                <w:rFonts w:ascii="宋体" w:hAnsi="宋体" w:cs="宋体"/>
                <w:color w:val="000000"/>
                <w:sz w:val="24"/>
              </w:rPr>
            </w:pPr>
            <w:r>
              <w:rPr>
                <w:rFonts w:hint="eastAsia" w:ascii="宋体" w:hAnsi="宋体" w:cs="宋体"/>
                <w:color w:val="000000"/>
                <w:sz w:val="24"/>
              </w:rPr>
              <w:t>故障级别</w:t>
            </w:r>
          </w:p>
        </w:tc>
        <w:tc>
          <w:tcPr>
            <w:tcW w:w="1396" w:type="dxa"/>
          </w:tcPr>
          <w:p w14:paraId="1F8241AF">
            <w:pPr>
              <w:jc w:val="center"/>
              <w:rPr>
                <w:rFonts w:ascii="宋体" w:hAnsi="宋体" w:cs="宋体"/>
                <w:color w:val="000000"/>
                <w:sz w:val="24"/>
              </w:rPr>
            </w:pPr>
            <w:r>
              <w:rPr>
                <w:rFonts w:hint="eastAsia" w:ascii="宋体" w:hAnsi="宋体" w:cs="宋体"/>
                <w:color w:val="000000"/>
                <w:sz w:val="24"/>
              </w:rPr>
              <w:t>技术人员到场时间</w:t>
            </w:r>
          </w:p>
        </w:tc>
        <w:tc>
          <w:tcPr>
            <w:tcW w:w="1559" w:type="dxa"/>
          </w:tcPr>
          <w:p w14:paraId="631E8FD1">
            <w:pPr>
              <w:jc w:val="center"/>
              <w:rPr>
                <w:rFonts w:ascii="宋体" w:hAnsi="宋体" w:cs="宋体"/>
                <w:color w:val="000000"/>
                <w:sz w:val="24"/>
              </w:rPr>
            </w:pPr>
            <w:r>
              <w:rPr>
                <w:rFonts w:hint="eastAsia" w:ascii="宋体" w:hAnsi="宋体" w:cs="宋体"/>
                <w:color w:val="000000"/>
                <w:sz w:val="24"/>
              </w:rPr>
              <w:t>提出解决方案</w:t>
            </w:r>
          </w:p>
        </w:tc>
        <w:tc>
          <w:tcPr>
            <w:tcW w:w="1418" w:type="dxa"/>
          </w:tcPr>
          <w:p w14:paraId="26803C70">
            <w:pPr>
              <w:jc w:val="center"/>
              <w:rPr>
                <w:rFonts w:ascii="宋体" w:hAnsi="宋体" w:cs="宋体"/>
                <w:color w:val="000000"/>
                <w:sz w:val="24"/>
              </w:rPr>
            </w:pPr>
            <w:r>
              <w:rPr>
                <w:rFonts w:hint="eastAsia" w:ascii="宋体" w:hAnsi="宋体" w:cs="宋体"/>
                <w:color w:val="000000"/>
                <w:sz w:val="24"/>
              </w:rPr>
              <w:t>备件到场时间</w:t>
            </w:r>
          </w:p>
        </w:tc>
        <w:tc>
          <w:tcPr>
            <w:tcW w:w="1294" w:type="dxa"/>
          </w:tcPr>
          <w:p w14:paraId="209B63AA">
            <w:pPr>
              <w:jc w:val="center"/>
              <w:rPr>
                <w:rFonts w:ascii="宋体" w:hAnsi="宋体" w:cs="宋体"/>
                <w:color w:val="000000"/>
                <w:sz w:val="24"/>
              </w:rPr>
            </w:pPr>
            <w:r>
              <w:rPr>
                <w:rFonts w:hint="eastAsia" w:ascii="宋体" w:hAnsi="宋体" w:cs="宋体"/>
                <w:color w:val="000000"/>
                <w:sz w:val="24"/>
              </w:rPr>
              <w:t>解决时间</w:t>
            </w:r>
          </w:p>
        </w:tc>
        <w:tc>
          <w:tcPr>
            <w:tcW w:w="1257" w:type="dxa"/>
          </w:tcPr>
          <w:p w14:paraId="044B3579">
            <w:pPr>
              <w:jc w:val="center"/>
              <w:rPr>
                <w:rFonts w:ascii="宋体" w:hAnsi="宋体" w:cs="宋体"/>
                <w:color w:val="000000"/>
                <w:sz w:val="24"/>
              </w:rPr>
            </w:pPr>
            <w:r>
              <w:rPr>
                <w:rFonts w:hint="eastAsia" w:ascii="宋体" w:hAnsi="宋体" w:cs="宋体"/>
                <w:color w:val="000000"/>
                <w:sz w:val="24"/>
              </w:rPr>
              <w:t>其他</w:t>
            </w:r>
          </w:p>
        </w:tc>
      </w:tr>
      <w:tr w14:paraId="48348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0" w:hRule="atLeast"/>
          <w:jc w:val="center"/>
        </w:trPr>
        <w:tc>
          <w:tcPr>
            <w:tcW w:w="1699" w:type="dxa"/>
          </w:tcPr>
          <w:p w14:paraId="769B6ED5">
            <w:pPr>
              <w:rPr>
                <w:rFonts w:ascii="宋体" w:hAnsi="宋体" w:cs="宋体"/>
                <w:color w:val="000000"/>
                <w:sz w:val="24"/>
              </w:rPr>
            </w:pPr>
            <w:r>
              <w:rPr>
                <w:rFonts w:hint="eastAsia" w:ascii="宋体" w:hAnsi="宋体" w:cs="宋体"/>
                <w:color w:val="000000"/>
                <w:sz w:val="24"/>
              </w:rPr>
              <w:t>Ⅰ级：属于重特大故障</w:t>
            </w:r>
            <w:r>
              <w:rPr>
                <w:rFonts w:hint="eastAsia" w:ascii="宋体" w:hAnsi="宋体" w:cs="宋体"/>
                <w:bCs/>
                <w:color w:val="000000"/>
                <w:sz w:val="24"/>
              </w:rPr>
              <w:t>或系统存在重大安全隐患的情况下</w:t>
            </w:r>
            <w:r>
              <w:rPr>
                <w:rFonts w:hint="eastAsia" w:ascii="宋体" w:hAnsi="宋体" w:cs="宋体"/>
                <w:color w:val="000000"/>
                <w:sz w:val="24"/>
              </w:rPr>
              <w:t>。</w:t>
            </w:r>
          </w:p>
        </w:tc>
        <w:tc>
          <w:tcPr>
            <w:tcW w:w="1396" w:type="dxa"/>
          </w:tcPr>
          <w:p w14:paraId="43F7DF69">
            <w:pPr>
              <w:rPr>
                <w:rFonts w:ascii="宋体" w:hAnsi="宋体" w:cs="宋体"/>
                <w:color w:val="000000"/>
                <w:sz w:val="24"/>
              </w:rPr>
            </w:pPr>
            <w:r>
              <w:rPr>
                <w:rFonts w:hint="eastAsia" w:ascii="宋体" w:hAnsi="宋体" w:cs="宋体"/>
                <w:color w:val="000000"/>
                <w:sz w:val="24"/>
              </w:rPr>
              <w:t>接报30分钟以内到现场</w:t>
            </w:r>
          </w:p>
        </w:tc>
        <w:tc>
          <w:tcPr>
            <w:tcW w:w="1559" w:type="dxa"/>
          </w:tcPr>
          <w:p w14:paraId="1742868E">
            <w:pPr>
              <w:rPr>
                <w:rFonts w:ascii="宋体" w:hAnsi="宋体" w:cs="宋体"/>
                <w:color w:val="000000"/>
                <w:sz w:val="24"/>
              </w:rPr>
            </w:pPr>
            <w:r>
              <w:rPr>
                <w:rFonts w:hint="eastAsia" w:ascii="宋体" w:hAnsi="宋体" w:cs="宋体"/>
                <w:color w:val="000000"/>
                <w:sz w:val="24"/>
              </w:rPr>
              <w:t>到现场后1小时内提交故障解决方案</w:t>
            </w:r>
          </w:p>
        </w:tc>
        <w:tc>
          <w:tcPr>
            <w:tcW w:w="1418" w:type="dxa"/>
          </w:tcPr>
          <w:p w14:paraId="6E30AD08">
            <w:pPr>
              <w:rPr>
                <w:rFonts w:ascii="宋体" w:hAnsi="宋体" w:cs="宋体"/>
                <w:color w:val="000000"/>
                <w:sz w:val="24"/>
              </w:rPr>
            </w:pPr>
            <w:r>
              <w:rPr>
                <w:rFonts w:hint="eastAsia" w:ascii="宋体" w:hAnsi="宋体" w:cs="宋体"/>
                <w:color w:val="000000"/>
                <w:sz w:val="24"/>
              </w:rPr>
              <w:t>提出解决方案后1小时到现场</w:t>
            </w:r>
          </w:p>
        </w:tc>
        <w:tc>
          <w:tcPr>
            <w:tcW w:w="1294" w:type="dxa"/>
          </w:tcPr>
          <w:p w14:paraId="5C6AF5A1">
            <w:pPr>
              <w:rPr>
                <w:rFonts w:ascii="宋体" w:hAnsi="宋体" w:cs="宋体"/>
                <w:color w:val="000000"/>
                <w:sz w:val="24"/>
              </w:rPr>
            </w:pPr>
            <w:r>
              <w:rPr>
                <w:rFonts w:hint="eastAsia" w:ascii="宋体" w:hAnsi="宋体" w:cs="宋体"/>
                <w:color w:val="000000"/>
                <w:sz w:val="24"/>
              </w:rPr>
              <w:t>接报3小时以内</w:t>
            </w:r>
          </w:p>
        </w:tc>
        <w:tc>
          <w:tcPr>
            <w:tcW w:w="1257" w:type="dxa"/>
            <w:vMerge w:val="restart"/>
          </w:tcPr>
          <w:p w14:paraId="0E5E06B8">
            <w:pPr>
              <w:rPr>
                <w:rFonts w:ascii="宋体" w:hAnsi="宋体" w:cs="宋体"/>
                <w:color w:val="000000"/>
                <w:sz w:val="24"/>
              </w:rPr>
            </w:pPr>
            <w:r>
              <w:rPr>
                <w:rFonts w:hint="eastAsia" w:ascii="宋体" w:hAnsi="宋体" w:cs="宋体"/>
                <w:color w:val="000000"/>
                <w:sz w:val="24"/>
              </w:rPr>
              <w:t>特殊情况，电话通知或下发《紧急维修通知单》，3小时内必须修复。</w:t>
            </w:r>
          </w:p>
        </w:tc>
      </w:tr>
      <w:tr w14:paraId="46912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tcPr>
          <w:p w14:paraId="21A6C536">
            <w:pPr>
              <w:rPr>
                <w:rFonts w:ascii="宋体" w:hAnsi="宋体" w:cs="宋体"/>
                <w:color w:val="000000"/>
                <w:sz w:val="24"/>
              </w:rPr>
            </w:pPr>
            <w:r>
              <w:rPr>
                <w:rFonts w:hint="eastAsia" w:ascii="宋体" w:hAnsi="宋体" w:cs="宋体"/>
                <w:color w:val="000000"/>
                <w:sz w:val="24"/>
              </w:rPr>
              <w:t>Ⅱ级：属于严重问题：其具体现象为：部分服务器系统发生故障、或小面积瘫痪但不影响系统整体运行。</w:t>
            </w:r>
          </w:p>
        </w:tc>
        <w:tc>
          <w:tcPr>
            <w:tcW w:w="1396" w:type="dxa"/>
          </w:tcPr>
          <w:p w14:paraId="15E86310">
            <w:pPr>
              <w:rPr>
                <w:rFonts w:ascii="宋体" w:hAnsi="宋体" w:cs="宋体"/>
                <w:color w:val="000000"/>
                <w:sz w:val="24"/>
              </w:rPr>
            </w:pPr>
            <w:r>
              <w:rPr>
                <w:rFonts w:hint="eastAsia" w:ascii="宋体" w:hAnsi="宋体" w:cs="宋体"/>
                <w:color w:val="000000"/>
                <w:sz w:val="24"/>
              </w:rPr>
              <w:t>接报30分钟以内到现场</w:t>
            </w:r>
          </w:p>
        </w:tc>
        <w:tc>
          <w:tcPr>
            <w:tcW w:w="1559" w:type="dxa"/>
          </w:tcPr>
          <w:p w14:paraId="0F2D2A5E">
            <w:pPr>
              <w:rPr>
                <w:rFonts w:ascii="宋体" w:hAnsi="宋体" w:cs="宋体"/>
                <w:color w:val="000000"/>
                <w:sz w:val="24"/>
              </w:rPr>
            </w:pPr>
            <w:r>
              <w:rPr>
                <w:rFonts w:hint="eastAsia" w:ascii="宋体" w:hAnsi="宋体" w:cs="宋体"/>
                <w:color w:val="000000"/>
                <w:sz w:val="24"/>
              </w:rPr>
              <w:t>到现场后1小时内提交故障解决方案</w:t>
            </w:r>
          </w:p>
        </w:tc>
        <w:tc>
          <w:tcPr>
            <w:tcW w:w="1418" w:type="dxa"/>
          </w:tcPr>
          <w:p w14:paraId="52BF0B8C">
            <w:pPr>
              <w:rPr>
                <w:rFonts w:ascii="宋体" w:hAnsi="宋体" w:cs="宋体"/>
                <w:color w:val="000000"/>
                <w:sz w:val="24"/>
              </w:rPr>
            </w:pPr>
            <w:r>
              <w:rPr>
                <w:rFonts w:hint="eastAsia" w:ascii="宋体" w:hAnsi="宋体" w:cs="宋体"/>
                <w:color w:val="000000"/>
                <w:sz w:val="24"/>
              </w:rPr>
              <w:t>提出解决方案后1小时到现场</w:t>
            </w:r>
          </w:p>
        </w:tc>
        <w:tc>
          <w:tcPr>
            <w:tcW w:w="1294" w:type="dxa"/>
          </w:tcPr>
          <w:p w14:paraId="062AEAEE">
            <w:pPr>
              <w:rPr>
                <w:rFonts w:ascii="宋体" w:hAnsi="宋体" w:cs="宋体"/>
                <w:color w:val="000000"/>
                <w:sz w:val="24"/>
              </w:rPr>
            </w:pPr>
            <w:r>
              <w:rPr>
                <w:rFonts w:hint="eastAsia" w:ascii="宋体" w:hAnsi="宋体" w:cs="宋体"/>
                <w:color w:val="000000"/>
                <w:sz w:val="24"/>
              </w:rPr>
              <w:t>接报6小时以内</w:t>
            </w:r>
          </w:p>
        </w:tc>
        <w:tc>
          <w:tcPr>
            <w:tcW w:w="1257" w:type="dxa"/>
            <w:vMerge w:val="continue"/>
          </w:tcPr>
          <w:p w14:paraId="3783639C">
            <w:pPr>
              <w:rPr>
                <w:rFonts w:ascii="宋体" w:hAnsi="宋体" w:cs="宋体"/>
                <w:color w:val="000000"/>
                <w:sz w:val="24"/>
              </w:rPr>
            </w:pPr>
          </w:p>
        </w:tc>
      </w:tr>
      <w:tr w14:paraId="757BB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tcPr>
          <w:p w14:paraId="495954F4">
            <w:pPr>
              <w:rPr>
                <w:rFonts w:ascii="宋体" w:hAnsi="宋体" w:cs="宋体"/>
                <w:color w:val="000000"/>
                <w:sz w:val="24"/>
              </w:rPr>
            </w:pPr>
            <w:r>
              <w:rPr>
                <w:rFonts w:hint="eastAsia" w:ascii="宋体" w:hAnsi="宋体" w:cs="宋体"/>
                <w:color w:val="000000"/>
                <w:sz w:val="24"/>
              </w:rPr>
              <w:t>Ⅲ级：属于普通问题：其具体现象为：服务器、存储硬盘故障，交换机单点故障，服务故障。</w:t>
            </w:r>
          </w:p>
        </w:tc>
        <w:tc>
          <w:tcPr>
            <w:tcW w:w="1396" w:type="dxa"/>
          </w:tcPr>
          <w:p w14:paraId="031CF53A">
            <w:pPr>
              <w:rPr>
                <w:rFonts w:ascii="宋体" w:hAnsi="宋体" w:cs="宋体"/>
                <w:color w:val="000000"/>
                <w:sz w:val="24"/>
              </w:rPr>
            </w:pPr>
            <w:r>
              <w:rPr>
                <w:rFonts w:hint="eastAsia" w:ascii="宋体" w:hAnsi="宋体" w:cs="宋体"/>
                <w:color w:val="000000"/>
                <w:sz w:val="24"/>
              </w:rPr>
              <w:t>接报2小时内到现场</w:t>
            </w:r>
          </w:p>
        </w:tc>
        <w:tc>
          <w:tcPr>
            <w:tcW w:w="1559" w:type="dxa"/>
          </w:tcPr>
          <w:p w14:paraId="08F86AB8">
            <w:pPr>
              <w:rPr>
                <w:rFonts w:ascii="宋体" w:hAnsi="宋体" w:cs="宋体"/>
                <w:color w:val="000000"/>
                <w:sz w:val="24"/>
              </w:rPr>
            </w:pPr>
            <w:r>
              <w:rPr>
                <w:rFonts w:hint="eastAsia" w:ascii="宋体" w:hAnsi="宋体" w:cs="宋体"/>
                <w:color w:val="000000"/>
                <w:sz w:val="24"/>
              </w:rPr>
              <w:t>即时提交或到现场后1小时内提交解决方案</w:t>
            </w:r>
          </w:p>
        </w:tc>
        <w:tc>
          <w:tcPr>
            <w:tcW w:w="1418" w:type="dxa"/>
          </w:tcPr>
          <w:p w14:paraId="3D22D49C">
            <w:pPr>
              <w:rPr>
                <w:rFonts w:ascii="宋体" w:hAnsi="宋体" w:cs="宋体"/>
                <w:color w:val="000000"/>
                <w:sz w:val="24"/>
              </w:rPr>
            </w:pPr>
            <w:r>
              <w:rPr>
                <w:rFonts w:hint="eastAsia" w:ascii="宋体" w:hAnsi="宋体" w:cs="宋体"/>
                <w:color w:val="000000"/>
                <w:sz w:val="24"/>
              </w:rPr>
              <w:t>视情况而定</w:t>
            </w:r>
          </w:p>
        </w:tc>
        <w:tc>
          <w:tcPr>
            <w:tcW w:w="1294" w:type="dxa"/>
          </w:tcPr>
          <w:p w14:paraId="7C43453E">
            <w:pPr>
              <w:rPr>
                <w:rFonts w:ascii="宋体" w:hAnsi="宋体" w:cs="宋体"/>
                <w:color w:val="000000"/>
                <w:sz w:val="24"/>
              </w:rPr>
            </w:pPr>
            <w:r>
              <w:rPr>
                <w:rFonts w:hint="eastAsia" w:ascii="宋体" w:hAnsi="宋体" w:cs="宋体"/>
                <w:color w:val="000000"/>
                <w:sz w:val="24"/>
              </w:rPr>
              <w:t>接报12小时以内</w:t>
            </w:r>
          </w:p>
        </w:tc>
        <w:tc>
          <w:tcPr>
            <w:tcW w:w="1257" w:type="dxa"/>
            <w:vMerge w:val="continue"/>
          </w:tcPr>
          <w:p w14:paraId="3BC4519C">
            <w:pPr>
              <w:rPr>
                <w:rFonts w:ascii="宋体" w:hAnsi="宋体" w:cs="宋体"/>
                <w:color w:val="000000"/>
                <w:sz w:val="24"/>
              </w:rPr>
            </w:pPr>
          </w:p>
        </w:tc>
      </w:tr>
    </w:tbl>
    <w:p w14:paraId="255D0CAD">
      <w:pPr>
        <w:spacing w:line="560" w:lineRule="exact"/>
        <w:ind w:firstLine="480" w:firstLineChars="200"/>
        <w:rPr>
          <w:rFonts w:ascii="宋体" w:hAnsi="宋体"/>
          <w:color w:val="000000"/>
          <w:sz w:val="24"/>
        </w:rPr>
      </w:pPr>
      <w:r>
        <w:rPr>
          <w:rFonts w:hint="eastAsia" w:ascii="宋体" w:hAnsi="宋体" w:cs="宋体"/>
          <w:color w:val="000000"/>
          <w:sz w:val="24"/>
        </w:rPr>
        <w:t>2、培训要求：项目实施结束后，在接到采购人培训指令时，应在采购人规定的时间到达培训地点，对采购人相关管理人员进行免费现场培训</w:t>
      </w:r>
      <w:r>
        <w:rPr>
          <w:rFonts w:ascii="宋体" w:hAnsi="宋体" w:cs="宋体"/>
          <w:color w:val="000000"/>
          <w:sz w:val="24"/>
        </w:rPr>
        <w:t>,</w:t>
      </w:r>
      <w:r>
        <w:rPr>
          <w:rFonts w:hint="eastAsia" w:ascii="宋体" w:hAnsi="宋体" w:cs="宋体"/>
          <w:color w:val="000000"/>
          <w:sz w:val="24"/>
        </w:rPr>
        <w:t>提供不少于 3人/天的培训，采购人经过培训后，应能熟练掌握使用方法，独立完成日常的维护工作，掌握日常运行情况并能及时了解并排除大部分的日常故障。</w:t>
      </w:r>
    </w:p>
    <w:p w14:paraId="7DBC0ADB">
      <w:pPr>
        <w:spacing w:line="560" w:lineRule="exact"/>
        <w:ind w:firstLine="480" w:firstLineChars="200"/>
        <w:rPr>
          <w:rFonts w:ascii="宋体" w:hAnsi="宋体"/>
          <w:color w:val="000000"/>
          <w:sz w:val="24"/>
        </w:rPr>
      </w:pPr>
      <w:r>
        <w:rPr>
          <w:rFonts w:hint="eastAsia" w:ascii="宋体" w:hAnsi="宋体"/>
          <w:color w:val="000000"/>
          <w:sz w:val="24"/>
        </w:rPr>
        <w:t>3、</w:t>
      </w:r>
      <w:r>
        <w:rPr>
          <w:rFonts w:hint="eastAsia" w:ascii="宋体" w:hAnsi="宋体" w:cs="宋体"/>
          <w:color w:val="000000"/>
          <w:sz w:val="24"/>
        </w:rPr>
        <w:t>调研方</w:t>
      </w:r>
      <w:r>
        <w:rPr>
          <w:rFonts w:hint="eastAsia" w:ascii="宋体" w:hAnsi="宋体"/>
          <w:color w:val="000000"/>
          <w:sz w:val="24"/>
        </w:rPr>
        <w:t>必须是生产厂家或取得厂家授权的代理商，调研时代理商需提供原厂针对此项目的授权函；</w:t>
      </w:r>
    </w:p>
    <w:p w14:paraId="31F974BC">
      <w:pPr>
        <w:spacing w:line="560" w:lineRule="exact"/>
        <w:rPr>
          <w:rFonts w:ascii="宋体" w:hAnsi="宋体"/>
          <w:b/>
          <w:bCs/>
          <w:color w:val="000000"/>
          <w:sz w:val="28"/>
          <w:szCs w:val="28"/>
        </w:rPr>
      </w:pPr>
      <w:r>
        <w:rPr>
          <w:rFonts w:hint="eastAsia" w:ascii="宋体" w:hAnsi="宋体"/>
          <w:b/>
          <w:bCs/>
          <w:color w:val="000000"/>
          <w:sz w:val="28"/>
          <w:szCs w:val="28"/>
        </w:rPr>
        <w:t>三、服务要求</w:t>
      </w:r>
    </w:p>
    <w:p w14:paraId="4A002FD5">
      <w:pPr>
        <w:spacing w:line="560" w:lineRule="exact"/>
        <w:ind w:firstLine="480" w:firstLineChars="200"/>
        <w:rPr>
          <w:rFonts w:hint="eastAsia" w:ascii="宋体" w:hAnsi="宋体"/>
          <w:color w:val="000000"/>
          <w:sz w:val="24"/>
        </w:rPr>
      </w:pPr>
      <w:r>
        <w:rPr>
          <w:rFonts w:hint="eastAsia" w:ascii="宋体" w:hAnsi="宋体"/>
          <w:color w:val="000000"/>
          <w:sz w:val="24"/>
        </w:rPr>
        <w:t>1、质保期：供应商报价时须承诺所供货物的免费质保期为三年（自验收报告签字确认日起，开始进入质保期）。</w:t>
      </w:r>
    </w:p>
    <w:p w14:paraId="0437C890">
      <w:pPr>
        <w:spacing w:line="560" w:lineRule="exact"/>
        <w:ind w:firstLine="480" w:firstLineChars="200"/>
        <w:rPr>
          <w:rFonts w:hint="eastAsia" w:ascii="宋体" w:hAnsi="宋体"/>
          <w:color w:val="000000"/>
          <w:sz w:val="24"/>
        </w:rPr>
      </w:pPr>
      <w:r>
        <w:rPr>
          <w:rFonts w:hint="eastAsia" w:ascii="宋体" w:hAnsi="宋体"/>
          <w:color w:val="000000"/>
          <w:sz w:val="24"/>
        </w:rPr>
        <w:t>2、服务响应时间：在接到服务请求1个小时内到达现场进行服务及保障。</w:t>
      </w:r>
    </w:p>
    <w:p w14:paraId="6B15E90B">
      <w:pPr>
        <w:spacing w:line="560" w:lineRule="exact"/>
        <w:ind w:firstLine="480" w:firstLineChars="200"/>
        <w:rPr>
          <w:rFonts w:hint="eastAsia" w:ascii="宋体" w:hAnsi="宋体"/>
          <w:color w:val="000000"/>
          <w:sz w:val="24"/>
        </w:rPr>
      </w:pPr>
      <w:r>
        <w:rPr>
          <w:rFonts w:hint="eastAsia" w:ascii="宋体" w:hAnsi="宋体"/>
          <w:color w:val="000000"/>
          <w:sz w:val="24"/>
        </w:rPr>
        <w:t>3、本项目承建商需配合医院一起为业务软件保障工作及所有的硬件集成实施服务工作，根据医院的建设有关规范、标准要求，结合用户实际需要，进行扩容规划</w:t>
      </w:r>
      <w:r>
        <w:rPr>
          <w:rFonts w:ascii="宋体" w:hAnsi="宋体"/>
          <w:color w:val="000000"/>
          <w:sz w:val="24"/>
        </w:rPr>
        <w:t>规划（评估性能容量、确定节点数量、网络拓扑）</w:t>
      </w:r>
      <w:r>
        <w:rPr>
          <w:rFonts w:hint="eastAsia" w:ascii="宋体" w:hAnsi="宋体"/>
          <w:color w:val="000000"/>
          <w:sz w:val="24"/>
        </w:rPr>
        <w:t>、</w:t>
      </w:r>
      <w:r>
        <w:rPr>
          <w:rFonts w:ascii="宋体" w:hAnsi="宋体"/>
          <w:color w:val="000000"/>
          <w:sz w:val="24"/>
        </w:rPr>
        <w:t>实施（上架新节点、布线组网、升级固件驱动）</w:t>
      </w:r>
      <w:r>
        <w:rPr>
          <w:rFonts w:hint="eastAsia" w:ascii="宋体" w:hAnsi="宋体"/>
          <w:color w:val="000000"/>
          <w:sz w:val="24"/>
        </w:rPr>
        <w:t>、</w:t>
      </w:r>
      <w:r>
        <w:rPr>
          <w:rFonts w:ascii="宋体" w:hAnsi="宋体"/>
          <w:color w:val="000000"/>
          <w:sz w:val="24"/>
        </w:rPr>
        <w:t>配置（发现硬件、磁盘测试、集群扩展、数据平衡）</w:t>
      </w:r>
      <w:r>
        <w:rPr>
          <w:rFonts w:hint="eastAsia" w:ascii="宋体" w:hAnsi="宋体"/>
          <w:color w:val="000000"/>
          <w:sz w:val="24"/>
        </w:rPr>
        <w:t>、</w:t>
      </w:r>
      <w:r>
        <w:rPr>
          <w:rFonts w:ascii="宋体" w:hAnsi="宋体"/>
          <w:color w:val="000000"/>
          <w:sz w:val="24"/>
        </w:rPr>
        <w:t>验证（业务迁移测试、性能监控、冗余可靠性检查），最后完成验收与文档更新。整个流程需确保业务零中断，数据无丢失</w:t>
      </w:r>
      <w:r>
        <w:rPr>
          <w:rFonts w:hint="eastAsia" w:ascii="宋体" w:hAnsi="宋体"/>
          <w:color w:val="000000"/>
          <w:sz w:val="24"/>
        </w:rPr>
        <w:t>。</w:t>
      </w:r>
    </w:p>
    <w:p w14:paraId="429A35B2">
      <w:pPr>
        <w:spacing w:line="560" w:lineRule="exact"/>
        <w:rPr>
          <w:rFonts w:ascii="宋体" w:hAnsi="宋体"/>
          <w:b/>
          <w:bCs/>
          <w:color w:val="000000"/>
          <w:sz w:val="28"/>
          <w:szCs w:val="28"/>
        </w:rPr>
      </w:pPr>
      <w:r>
        <w:rPr>
          <w:rFonts w:hint="eastAsia" w:ascii="宋体" w:hAnsi="宋体"/>
          <w:b/>
          <w:bCs/>
          <w:color w:val="000000"/>
          <w:sz w:val="28"/>
          <w:szCs w:val="28"/>
        </w:rPr>
        <w:t>四、项目实施要求</w:t>
      </w:r>
    </w:p>
    <w:p w14:paraId="310ABA51">
      <w:pPr>
        <w:spacing w:line="560" w:lineRule="exact"/>
        <w:ind w:firstLine="480" w:firstLineChars="200"/>
        <w:rPr>
          <w:rFonts w:ascii="宋体" w:hAnsi="宋体" w:cs="仿宋_GB2312"/>
          <w:color w:val="000000"/>
          <w:sz w:val="24"/>
        </w:rPr>
      </w:pPr>
      <w:r>
        <w:rPr>
          <w:rFonts w:hint="eastAsia" w:ascii="宋体" w:hAnsi="宋体" w:cs="仿宋_GB2312"/>
          <w:color w:val="000000"/>
          <w:sz w:val="24"/>
        </w:rPr>
        <w:t>项目实施时间：签订合同之日起7个工作日内。</w:t>
      </w:r>
    </w:p>
    <w:bookmarkEnd w:id="0"/>
    <w:p w14:paraId="039A884D">
      <w:pPr>
        <w:spacing w:line="560" w:lineRule="exact"/>
        <w:rPr>
          <w:rFonts w:hint="eastAsia" w:ascii="宋体" w:hAnsi="宋体" w:cs="仿宋_GB2312"/>
          <w:b/>
          <w:bCs/>
          <w:color w:val="000000"/>
          <w:sz w:val="28"/>
          <w:szCs w:val="28"/>
        </w:rPr>
      </w:pPr>
      <w:r>
        <w:rPr>
          <w:rFonts w:hint="eastAsia" w:ascii="宋体" w:hAnsi="宋体" w:cs="仿宋_GB2312"/>
          <w:b/>
          <w:bCs/>
          <w:color w:val="000000"/>
          <w:sz w:val="28"/>
          <w:szCs w:val="28"/>
        </w:rPr>
        <w:t>五、现场调研</w:t>
      </w:r>
    </w:p>
    <w:p w14:paraId="5A6BA167"/>
    <w:p w14:paraId="6E1BC56E">
      <w:pPr>
        <w:spacing w:line="560" w:lineRule="exact"/>
        <w:ind w:firstLine="480" w:firstLineChars="200"/>
        <w:rPr>
          <w:rFonts w:ascii="宋体" w:hAnsi="宋体" w:cs="仿宋_GB2312"/>
          <w:color w:val="000000"/>
          <w:sz w:val="24"/>
        </w:rPr>
      </w:pPr>
      <w:r>
        <w:rPr>
          <w:rFonts w:hint="eastAsia" w:ascii="宋体" w:hAnsi="宋体" w:cs="仿宋_GB2312"/>
          <w:color w:val="000000"/>
          <w:sz w:val="24"/>
        </w:rPr>
        <w:t>项目具体情况请查看现场，联系电话：唐工 13222777718。</w:t>
      </w:r>
    </w:p>
    <w:p w14:paraId="3A720512"/>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B0604020202020204"/>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M4NTY2ZTUwZDFiNGIwMTQyY2QwNjkxYTlmY2E0NzYifQ=="/>
  </w:docVars>
  <w:rsids>
    <w:rsidRoot w:val="61F8231B"/>
    <w:rsid w:val="00A11FE1"/>
    <w:rsid w:val="00C63334"/>
    <w:rsid w:val="00F648AA"/>
    <w:rsid w:val="23C92E69"/>
    <w:rsid w:val="2D7A5E52"/>
    <w:rsid w:val="43D73020"/>
    <w:rsid w:val="50E56BC4"/>
    <w:rsid w:val="58CC743F"/>
    <w:rsid w:val="61F8231B"/>
    <w:rsid w:val="7FFF9187"/>
    <w:rsid w:val="DFFFC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rPr>
  </w:style>
  <w:style w:type="paragraph" w:styleId="2">
    <w:name w:val="heading 2"/>
    <w:basedOn w:val="1"/>
    <w:next w:val="1"/>
    <w:qFormat/>
    <w:uiPriority w:val="1"/>
    <w:pPr>
      <w:spacing w:before="100" w:beforeAutospacing="1" w:after="100" w:afterAutospacing="1"/>
      <w:jc w:val="left"/>
      <w:outlineLvl w:val="1"/>
    </w:pPr>
    <w:rPr>
      <w:rFonts w:hint="eastAsia" w:ascii="宋体" w:hAnsi="宋体"/>
      <w:b/>
      <w:kern w:val="0"/>
      <w:sz w:val="36"/>
      <w:szCs w:val="36"/>
    </w:rPr>
  </w:style>
  <w:style w:type="paragraph" w:styleId="4">
    <w:name w:val="heading 4"/>
    <w:basedOn w:val="1"/>
    <w:next w:val="1"/>
    <w:qFormat/>
    <w:uiPriority w:val="0"/>
    <w:pPr>
      <w:keepNext/>
      <w:keepLines/>
      <w:spacing w:before="120" w:after="120"/>
      <w:outlineLvl w:val="3"/>
    </w:pPr>
    <w:rPr>
      <w:rFonts w:ascii="Arial" w:hAnsi="Arial" w:eastAsia="黑体"/>
      <w:b/>
      <w:sz w:val="28"/>
      <w:szCs w:val="20"/>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index 4"/>
    <w:basedOn w:val="1"/>
    <w:next w:val="1"/>
    <w:qFormat/>
    <w:uiPriority w:val="0"/>
    <w:pPr>
      <w:spacing w:after="160" w:line="278" w:lineRule="auto"/>
      <w:ind w:left="600" w:leftChars="600"/>
    </w:pPr>
    <w:rPr>
      <w:rFonts w:ascii="Calibri" w:hAnsi="Calibri"/>
      <w:sz w:val="24"/>
      <w:szCs w:val="22"/>
    </w:rPr>
  </w:style>
  <w:style w:type="table" w:styleId="7">
    <w:name w:val="Table Grid"/>
    <w:basedOn w:val="6"/>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 New"/>
    <w:qFormat/>
    <w:uiPriority w:val="0"/>
    <w:pPr>
      <w:widowControl w:val="0"/>
      <w:jc w:val="both"/>
    </w:pPr>
    <w:rPr>
      <w:rFonts w:ascii="Times New Roman" w:hAnsi="Times New Roman" w:eastAsia="宋体" w:cs="Times New Roman"/>
      <w:szCs w:val="24"/>
      <w:lang w:val="en-US" w:eastAsia="zh-CN" w:bidi="ar-SA"/>
    </w:rPr>
  </w:style>
  <w:style w:type="table" w:customStyle="1" w:styleId="10">
    <w:name w:val="网格型1"/>
    <w:basedOn w:val="6"/>
    <w:unhideWhenUsed/>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6</Pages>
  <Words>31</Words>
  <Characters>35</Characters>
  <Lines>25</Lines>
  <Paragraphs>7</Paragraphs>
  <TotalTime>1</TotalTime>
  <ScaleCrop>false</ScaleCrop>
  <LinksUpToDate>false</LinksUpToDate>
  <CharactersWithSpaces>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2026-08-26T12:59:00Z</dcterms:created>
  <dc:creator>施吉利</dc:creator>
  <cp:lastModifiedBy>唐老鸭</cp:lastModifiedBy>
  <dcterms:modified xsi:type="dcterms:W3CDTF">2026-09-15T05:55:38Z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59032F8193E24B59B6828200660E2C88_13</vt:lpwstr>
  </property>
  <property fmtid="{D5CDD505-2E9C-101B-9397-08002B2CF9AE}" pid="4" name="KSOTemplateDocerSaveRecord">
    <vt:lpwstr>eyJoZGlkIjoiZTg1MjYzNDliY2FiZGQ3MjY5N2RjZjRlODNhZWIxNmUiLCJ1c2VySWQiOiIzOTM2OTYwMTgifQ==</vt:lpwstr>
  </property>
</Properties>
</file>